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7DB341">
      <w:pPr>
        <w:rPr>
          <w:rFonts w:ascii="黑体" w:eastAsia="黑体"/>
          <w:color w:val="auto"/>
          <w:sz w:val="32"/>
          <w:szCs w:val="32"/>
          <w:highlight w:val="none"/>
        </w:rPr>
      </w:pPr>
    </w:p>
    <w:p w14:paraId="051AC5DD">
      <w:pPr>
        <w:rPr>
          <w:rFonts w:ascii="黑体" w:eastAsia="黑体"/>
          <w:color w:val="auto"/>
          <w:sz w:val="32"/>
          <w:szCs w:val="32"/>
          <w:highlight w:val="none"/>
        </w:rPr>
      </w:pPr>
    </w:p>
    <w:p w14:paraId="0CDE21C8">
      <w:pPr>
        <w:pStyle w:val="13"/>
        <w:adjustRightInd w:val="0"/>
        <w:snapToGrid w:val="0"/>
        <w:spacing w:line="360" w:lineRule="auto"/>
        <w:rPr>
          <w:rFonts w:hAnsi="宋体"/>
          <w:b/>
          <w:color w:val="auto"/>
          <w:sz w:val="32"/>
          <w:szCs w:val="32"/>
          <w:highlight w:val="none"/>
        </w:rPr>
      </w:pPr>
    </w:p>
    <w:p w14:paraId="7083E19E">
      <w:pPr>
        <w:pStyle w:val="13"/>
        <w:adjustRightInd w:val="0"/>
        <w:snapToGrid w:val="0"/>
        <w:spacing w:line="360" w:lineRule="auto"/>
        <w:jc w:val="center"/>
        <w:rPr>
          <w:rFonts w:hAnsi="宋体"/>
          <w:b/>
          <w:color w:val="auto"/>
          <w:sz w:val="84"/>
          <w:szCs w:val="84"/>
          <w:highlight w:val="none"/>
        </w:rPr>
      </w:pPr>
    </w:p>
    <w:p w14:paraId="0E9A3DAC">
      <w:pPr>
        <w:pStyle w:val="13"/>
        <w:adjustRightInd w:val="0"/>
        <w:snapToGrid w:val="0"/>
        <w:spacing w:line="360" w:lineRule="auto"/>
        <w:jc w:val="center"/>
        <w:rPr>
          <w:rFonts w:hAnsi="宋体"/>
          <w:b/>
          <w:color w:val="auto"/>
          <w:sz w:val="84"/>
          <w:szCs w:val="84"/>
          <w:highlight w:val="none"/>
        </w:rPr>
      </w:pPr>
      <w:r>
        <w:rPr>
          <w:rFonts w:hint="eastAsia" w:hAnsi="宋体"/>
          <w:b/>
          <w:color w:val="auto"/>
          <w:sz w:val="84"/>
          <w:szCs w:val="84"/>
          <w:highlight w:val="none"/>
          <w:lang w:val="en-US" w:eastAsia="zh-CN"/>
        </w:rPr>
        <w:t>竞争性谈判</w:t>
      </w:r>
      <w:r>
        <w:rPr>
          <w:rFonts w:hint="eastAsia" w:hAnsi="宋体"/>
          <w:b/>
          <w:color w:val="auto"/>
          <w:sz w:val="84"/>
          <w:szCs w:val="84"/>
          <w:highlight w:val="none"/>
        </w:rPr>
        <w:t>采购文件</w:t>
      </w:r>
    </w:p>
    <w:p w14:paraId="2AC39DAB">
      <w:pPr>
        <w:pStyle w:val="13"/>
        <w:adjustRightInd w:val="0"/>
        <w:snapToGrid w:val="0"/>
        <w:spacing w:beforeLines="50" w:line="360" w:lineRule="auto"/>
        <w:rPr>
          <w:b/>
          <w:color w:val="auto"/>
          <w:sz w:val="32"/>
          <w:szCs w:val="32"/>
          <w:highlight w:val="none"/>
        </w:rPr>
      </w:pPr>
    </w:p>
    <w:p w14:paraId="1F40E4A2">
      <w:pPr>
        <w:pStyle w:val="13"/>
        <w:adjustRightInd w:val="0"/>
        <w:snapToGrid w:val="0"/>
        <w:spacing w:beforeLines="50" w:line="480" w:lineRule="auto"/>
        <w:ind w:firstLine="960" w:firstLineChars="300"/>
        <w:rPr>
          <w:rFonts w:hAnsi="宋体"/>
          <w:color w:val="auto"/>
          <w:sz w:val="32"/>
          <w:szCs w:val="32"/>
          <w:highlight w:val="none"/>
        </w:rPr>
      </w:pPr>
    </w:p>
    <w:p w14:paraId="38D15309">
      <w:pPr>
        <w:pStyle w:val="13"/>
        <w:adjustRightInd w:val="0"/>
        <w:snapToGrid w:val="0"/>
        <w:spacing w:beforeLines="50" w:line="480" w:lineRule="auto"/>
        <w:rPr>
          <w:rFonts w:hAnsi="宋体"/>
          <w:color w:val="auto"/>
          <w:sz w:val="32"/>
          <w:szCs w:val="32"/>
          <w:highlight w:val="none"/>
        </w:rPr>
      </w:pPr>
    </w:p>
    <w:p w14:paraId="1B219312">
      <w:pPr>
        <w:pStyle w:val="13"/>
        <w:adjustRightInd w:val="0"/>
        <w:snapToGrid w:val="0"/>
        <w:spacing w:beforeLines="50" w:line="360" w:lineRule="auto"/>
        <w:ind w:left="3198" w:leftChars="456" w:hanging="2240" w:hangingChars="700"/>
        <w:rPr>
          <w:rFonts w:hint="eastAsia" w:hAnsi="宋体"/>
          <w:b/>
          <w:bCs/>
          <w:color w:val="auto"/>
          <w:sz w:val="32"/>
          <w:szCs w:val="32"/>
          <w:highlight w:val="none"/>
          <w:u w:val="single"/>
        </w:rPr>
      </w:pPr>
      <w:r>
        <w:rPr>
          <w:rFonts w:hint="eastAsia" w:hAnsi="宋体"/>
          <w:color w:val="auto"/>
          <w:sz w:val="32"/>
          <w:szCs w:val="32"/>
          <w:highlight w:val="none"/>
        </w:rPr>
        <w:t>项 目 名  称：</w:t>
      </w:r>
      <w:r>
        <w:rPr>
          <w:rFonts w:hint="eastAsia" w:hAnsi="宋体"/>
          <w:b/>
          <w:bCs/>
          <w:color w:val="auto"/>
          <w:sz w:val="32"/>
          <w:szCs w:val="32"/>
          <w:highlight w:val="none"/>
          <w:u w:val="single"/>
          <w:lang w:val="en-US" w:eastAsia="zh-CN"/>
        </w:rPr>
        <w:t>株洲北斗应用与信息技术产业示范基地配套基础设施项目（一期）钢结构安装</w:t>
      </w:r>
    </w:p>
    <w:p w14:paraId="7364BAA7">
      <w:pPr>
        <w:pStyle w:val="13"/>
        <w:adjustRightInd w:val="0"/>
        <w:snapToGrid w:val="0"/>
        <w:spacing w:beforeLines="50" w:line="360" w:lineRule="auto"/>
        <w:ind w:firstLine="960" w:firstLineChars="300"/>
        <w:rPr>
          <w:rFonts w:hAnsi="宋体"/>
          <w:color w:val="auto"/>
          <w:sz w:val="32"/>
          <w:szCs w:val="32"/>
          <w:highlight w:val="none"/>
        </w:rPr>
      </w:pPr>
      <w:r>
        <w:rPr>
          <w:rFonts w:hint="eastAsia" w:hAnsi="宋体"/>
          <w:color w:val="auto"/>
          <w:sz w:val="32"/>
          <w:szCs w:val="32"/>
          <w:highlight w:val="none"/>
        </w:rPr>
        <w:t>采   购   人：</w:t>
      </w:r>
      <w:r>
        <w:rPr>
          <w:rFonts w:hint="eastAsia" w:hAnsi="宋体"/>
          <w:b/>
          <w:bCs/>
          <w:color w:val="auto"/>
          <w:sz w:val="32"/>
          <w:szCs w:val="32"/>
          <w:highlight w:val="none"/>
          <w:u w:val="single"/>
          <w:lang w:val="en-US" w:eastAsia="zh-CN"/>
        </w:rPr>
        <w:t>株洲市云龙发展集团城市建设有限公司</w:t>
      </w:r>
    </w:p>
    <w:p w14:paraId="02079A92">
      <w:pPr>
        <w:pStyle w:val="13"/>
        <w:adjustRightInd w:val="0"/>
        <w:snapToGrid w:val="0"/>
        <w:spacing w:beforeLines="50" w:line="360" w:lineRule="auto"/>
        <w:ind w:firstLine="960" w:firstLineChars="300"/>
        <w:rPr>
          <w:rFonts w:hint="default" w:hAnsi="宋体" w:eastAsia="宋体"/>
          <w:color w:val="auto"/>
          <w:sz w:val="32"/>
          <w:szCs w:val="32"/>
          <w:highlight w:val="none"/>
          <w:lang w:val="en-US" w:eastAsia="zh-CN"/>
        </w:rPr>
      </w:pPr>
      <w:r>
        <w:rPr>
          <w:rFonts w:hint="eastAsia" w:hAnsi="宋体"/>
          <w:color w:val="auto"/>
          <w:sz w:val="32"/>
          <w:szCs w:val="32"/>
          <w:highlight w:val="none"/>
          <w:lang w:eastAsia="zh-CN"/>
        </w:rPr>
        <w:t>编</w:t>
      </w:r>
      <w:r>
        <w:rPr>
          <w:rFonts w:hint="eastAsia" w:hAnsi="宋体"/>
          <w:color w:val="auto"/>
          <w:sz w:val="32"/>
          <w:szCs w:val="32"/>
          <w:highlight w:val="none"/>
          <w:lang w:val="en-US" w:eastAsia="zh-CN"/>
        </w:rPr>
        <w:t xml:space="preserve">        </w:t>
      </w:r>
      <w:r>
        <w:rPr>
          <w:rFonts w:hint="eastAsia" w:hAnsi="宋体"/>
          <w:color w:val="auto"/>
          <w:sz w:val="32"/>
          <w:szCs w:val="32"/>
          <w:highlight w:val="none"/>
          <w:lang w:eastAsia="zh-CN"/>
        </w:rPr>
        <w:t>号</w:t>
      </w:r>
      <w:r>
        <w:rPr>
          <w:rFonts w:hint="eastAsia" w:hAnsi="宋体"/>
          <w:color w:val="auto"/>
          <w:sz w:val="32"/>
          <w:szCs w:val="32"/>
          <w:highlight w:val="none"/>
        </w:rPr>
        <w:t>：</w:t>
      </w:r>
      <w:r>
        <w:rPr>
          <w:rFonts w:hint="eastAsia" w:hAnsi="宋体"/>
          <w:b/>
          <w:bCs/>
          <w:color w:val="auto"/>
          <w:sz w:val="32"/>
          <w:szCs w:val="32"/>
          <w:highlight w:val="none"/>
          <w:u w:val="single"/>
          <w:lang w:val="en-US" w:eastAsia="zh-CN"/>
        </w:rPr>
        <w:t>YFJS-YS202603-001</w:t>
      </w:r>
    </w:p>
    <w:p w14:paraId="4A8C4657">
      <w:pPr>
        <w:pStyle w:val="13"/>
        <w:adjustRightInd w:val="0"/>
        <w:snapToGrid w:val="0"/>
        <w:spacing w:beforeLines="50" w:line="360" w:lineRule="auto"/>
        <w:ind w:firstLine="960" w:firstLineChars="300"/>
        <w:rPr>
          <w:rFonts w:hAnsi="宋体"/>
          <w:b/>
          <w:bCs/>
          <w:color w:val="auto"/>
          <w:sz w:val="32"/>
          <w:szCs w:val="32"/>
          <w:highlight w:val="none"/>
          <w:u w:val="single"/>
        </w:rPr>
        <w:sectPr>
          <w:pgSz w:w="11906" w:h="16838"/>
          <w:pgMar w:top="1417" w:right="1417" w:bottom="1417" w:left="1417" w:header="851" w:footer="567" w:gutter="0"/>
          <w:pgBorders>
            <w:top w:val="none" w:sz="0" w:space="0"/>
            <w:left w:val="none" w:sz="0" w:space="0"/>
            <w:bottom w:val="none" w:sz="0" w:space="0"/>
            <w:right w:val="none" w:sz="0" w:space="0"/>
          </w:pgBorders>
          <w:cols w:space="0" w:num="1"/>
          <w:docGrid w:type="lines" w:linePitch="312" w:charSpace="0"/>
        </w:sectPr>
      </w:pPr>
      <w:r>
        <w:rPr>
          <w:rFonts w:hint="eastAsia" w:hAnsi="宋体"/>
          <w:color w:val="auto"/>
          <w:sz w:val="32"/>
          <w:szCs w:val="32"/>
          <w:highlight w:val="none"/>
        </w:rPr>
        <w:t>日        期：</w:t>
      </w:r>
      <w:r>
        <w:rPr>
          <w:rFonts w:hint="eastAsia" w:hAnsi="宋体"/>
          <w:b/>
          <w:bCs/>
          <w:color w:val="auto"/>
          <w:sz w:val="32"/>
          <w:szCs w:val="32"/>
          <w:highlight w:val="none"/>
          <w:u w:val="single"/>
        </w:rPr>
        <w:t>二〇</w:t>
      </w:r>
      <w:r>
        <w:rPr>
          <w:rFonts w:hint="eastAsia" w:hAnsi="宋体"/>
          <w:b/>
          <w:bCs/>
          <w:color w:val="auto"/>
          <w:sz w:val="32"/>
          <w:szCs w:val="32"/>
          <w:highlight w:val="none"/>
          <w:u w:val="single"/>
          <w:lang w:eastAsia="zh-CN"/>
        </w:rPr>
        <w:t>二六</w:t>
      </w:r>
      <w:r>
        <w:rPr>
          <w:rFonts w:hint="eastAsia" w:hAnsi="宋体"/>
          <w:b/>
          <w:bCs/>
          <w:color w:val="auto"/>
          <w:sz w:val="32"/>
          <w:szCs w:val="32"/>
          <w:highlight w:val="none"/>
          <w:u w:val="single"/>
        </w:rPr>
        <w:t>年</w:t>
      </w:r>
      <w:r>
        <w:rPr>
          <w:rFonts w:hint="eastAsia" w:hAnsi="宋体"/>
          <w:b/>
          <w:bCs/>
          <w:color w:val="auto"/>
          <w:sz w:val="32"/>
          <w:szCs w:val="32"/>
          <w:highlight w:val="none"/>
          <w:u w:val="single"/>
          <w:lang w:eastAsia="zh-CN"/>
        </w:rPr>
        <w:t>四月</w:t>
      </w:r>
    </w:p>
    <w:p w14:paraId="003B9F6D">
      <w:pPr>
        <w:pStyle w:val="13"/>
        <w:adjustRightInd w:val="0"/>
        <w:snapToGrid w:val="0"/>
        <w:spacing w:line="360" w:lineRule="auto"/>
        <w:jc w:val="center"/>
        <w:rPr>
          <w:rFonts w:ascii="黑体" w:hAnsi="宋体" w:eastAsia="黑体"/>
          <w:b/>
          <w:color w:val="auto"/>
          <w:spacing w:val="160"/>
          <w:sz w:val="32"/>
          <w:szCs w:val="32"/>
          <w:highlight w:val="none"/>
        </w:rPr>
      </w:pPr>
      <w:r>
        <w:rPr>
          <w:rFonts w:hint="eastAsia" w:ascii="黑体" w:hAnsi="宋体" w:eastAsia="黑体"/>
          <w:b/>
          <w:color w:val="auto"/>
          <w:spacing w:val="160"/>
          <w:sz w:val="32"/>
          <w:szCs w:val="32"/>
          <w:highlight w:val="none"/>
        </w:rPr>
        <w:t>目录</w:t>
      </w:r>
    </w:p>
    <w:p w14:paraId="225DEBB6">
      <w:pPr>
        <w:pStyle w:val="13"/>
        <w:adjustRightInd w:val="0"/>
        <w:snapToGrid w:val="0"/>
        <w:spacing w:line="360" w:lineRule="auto"/>
        <w:rPr>
          <w:rFonts w:hAnsi="宋体"/>
          <w:b/>
          <w:color w:val="auto"/>
          <w:sz w:val="24"/>
          <w:szCs w:val="24"/>
          <w:highlight w:val="none"/>
        </w:rPr>
      </w:pPr>
      <w:r>
        <w:rPr>
          <w:rFonts w:hint="eastAsia" w:hAnsi="宋体"/>
          <w:b/>
          <w:color w:val="auto"/>
          <w:sz w:val="24"/>
          <w:szCs w:val="24"/>
          <w:highlight w:val="none"/>
        </w:rPr>
        <w:t>申明</w:t>
      </w:r>
    </w:p>
    <w:p w14:paraId="408D99F1">
      <w:pPr>
        <w:pStyle w:val="13"/>
        <w:adjustRightInd w:val="0"/>
        <w:snapToGrid w:val="0"/>
        <w:spacing w:line="360" w:lineRule="auto"/>
        <w:rPr>
          <w:rFonts w:hint="eastAsia" w:hAnsi="宋体" w:eastAsia="宋体"/>
          <w:b/>
          <w:color w:val="auto"/>
          <w:sz w:val="24"/>
          <w:szCs w:val="24"/>
          <w:highlight w:val="none"/>
          <w:lang w:eastAsia="zh-CN"/>
        </w:rPr>
      </w:pPr>
      <w:r>
        <w:rPr>
          <w:rFonts w:hint="eastAsia" w:hAnsi="宋体"/>
          <w:b/>
          <w:color w:val="auto"/>
          <w:sz w:val="24"/>
          <w:szCs w:val="24"/>
          <w:highlight w:val="none"/>
        </w:rPr>
        <w:t xml:space="preserve">第一章  </w:t>
      </w:r>
      <w:r>
        <w:rPr>
          <w:rFonts w:hint="eastAsia" w:hAnsi="宋体"/>
          <w:b/>
          <w:color w:val="auto"/>
          <w:sz w:val="24"/>
          <w:szCs w:val="24"/>
          <w:highlight w:val="none"/>
          <w:lang w:eastAsia="zh-CN"/>
        </w:rPr>
        <w:t>竞谈采购邀请书</w:t>
      </w:r>
    </w:p>
    <w:p w14:paraId="744F00C7">
      <w:pPr>
        <w:pStyle w:val="13"/>
        <w:adjustRightInd w:val="0"/>
        <w:snapToGrid w:val="0"/>
        <w:spacing w:line="360" w:lineRule="auto"/>
        <w:rPr>
          <w:rFonts w:hAnsi="宋体"/>
          <w:b/>
          <w:color w:val="auto"/>
          <w:sz w:val="24"/>
          <w:szCs w:val="24"/>
          <w:highlight w:val="none"/>
        </w:rPr>
      </w:pPr>
      <w:r>
        <w:rPr>
          <w:rFonts w:hint="eastAsia" w:hAnsi="宋体"/>
          <w:b/>
          <w:color w:val="auto"/>
          <w:sz w:val="24"/>
          <w:szCs w:val="24"/>
          <w:highlight w:val="none"/>
        </w:rPr>
        <w:t>第二章  供应商须知</w:t>
      </w:r>
    </w:p>
    <w:p w14:paraId="66AC835C">
      <w:pPr>
        <w:adjustRightInd w:val="0"/>
        <w:snapToGrid w:val="0"/>
        <w:spacing w:line="360" w:lineRule="auto"/>
        <w:rPr>
          <w:rFonts w:ascii="宋体" w:hAnsi="宋体"/>
          <w:b/>
          <w:color w:val="auto"/>
          <w:sz w:val="24"/>
          <w:highlight w:val="none"/>
        </w:rPr>
      </w:pPr>
      <w:r>
        <w:rPr>
          <w:rFonts w:hint="eastAsia" w:ascii="宋体" w:hAnsi="宋体"/>
          <w:b/>
          <w:color w:val="auto"/>
          <w:sz w:val="24"/>
          <w:highlight w:val="none"/>
        </w:rPr>
        <w:t>第三章  评审办法</w:t>
      </w:r>
    </w:p>
    <w:p w14:paraId="4AFA1204">
      <w:pPr>
        <w:adjustRightInd w:val="0"/>
        <w:snapToGrid w:val="0"/>
        <w:spacing w:line="360" w:lineRule="auto"/>
        <w:rPr>
          <w:rFonts w:ascii="宋体" w:hAnsi="宋体"/>
          <w:b/>
          <w:color w:val="auto"/>
          <w:sz w:val="24"/>
          <w:highlight w:val="none"/>
        </w:rPr>
      </w:pPr>
      <w:r>
        <w:rPr>
          <w:rFonts w:hint="eastAsia" w:ascii="宋体" w:hAnsi="宋体"/>
          <w:b/>
          <w:color w:val="auto"/>
          <w:sz w:val="24"/>
          <w:highlight w:val="none"/>
          <w:lang w:eastAsia="zh-CN"/>
        </w:rPr>
        <w:t>第四章</w:t>
      </w:r>
      <w:r>
        <w:rPr>
          <w:rFonts w:hint="eastAsia" w:ascii="宋体" w:hAnsi="宋体"/>
          <w:b/>
          <w:color w:val="auto"/>
          <w:sz w:val="24"/>
          <w:highlight w:val="none"/>
        </w:rPr>
        <w:t xml:space="preserve">  </w:t>
      </w:r>
      <w:r>
        <w:rPr>
          <w:rFonts w:hint="eastAsia" w:hAnsi="宋体"/>
          <w:b/>
          <w:color w:val="auto"/>
          <w:sz w:val="24"/>
          <w:highlight w:val="none"/>
        </w:rPr>
        <w:t>采购需求</w:t>
      </w:r>
    </w:p>
    <w:p w14:paraId="74ACEA3B">
      <w:pPr>
        <w:adjustRightInd w:val="0"/>
        <w:snapToGrid w:val="0"/>
        <w:spacing w:line="360" w:lineRule="auto"/>
        <w:rPr>
          <w:rFonts w:ascii="宋体" w:hAnsi="宋体"/>
          <w:b/>
          <w:color w:val="auto"/>
          <w:sz w:val="24"/>
          <w:highlight w:val="none"/>
        </w:rPr>
        <w:sectPr>
          <w:headerReference r:id="rId3" w:type="default"/>
          <w:footerReference r:id="rId4" w:type="default"/>
          <w:pgSz w:w="11906" w:h="16838"/>
          <w:pgMar w:top="1417" w:right="1417" w:bottom="1417" w:left="1417" w:header="851" w:footer="567" w:gutter="0"/>
          <w:pgBorders>
            <w:top w:val="none" w:sz="0" w:space="0"/>
            <w:left w:val="none" w:sz="0" w:space="0"/>
            <w:bottom w:val="none" w:sz="0" w:space="0"/>
            <w:right w:val="none" w:sz="0" w:space="0"/>
          </w:pgBorders>
          <w:pgNumType w:start="1"/>
          <w:cols w:space="0" w:num="1"/>
          <w:docGrid w:type="lines" w:linePitch="312" w:charSpace="0"/>
        </w:sectPr>
      </w:pPr>
      <w:r>
        <w:rPr>
          <w:rFonts w:hint="eastAsia" w:ascii="宋体" w:hAnsi="宋体"/>
          <w:b/>
          <w:color w:val="auto"/>
          <w:sz w:val="24"/>
          <w:highlight w:val="none"/>
          <w:lang w:eastAsia="zh-CN"/>
        </w:rPr>
        <w:t>第五章</w:t>
      </w:r>
      <w:r>
        <w:rPr>
          <w:rFonts w:hint="eastAsia" w:ascii="宋体" w:hAnsi="宋体"/>
          <w:b/>
          <w:color w:val="auto"/>
          <w:sz w:val="24"/>
          <w:highlight w:val="none"/>
        </w:rPr>
        <w:t xml:space="preserve">  响应文件组成</w:t>
      </w:r>
    </w:p>
    <w:p w14:paraId="004DB33F">
      <w:pPr>
        <w:spacing w:beforeLines="50" w:afterLines="100" w:line="60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申   明</w:t>
      </w:r>
    </w:p>
    <w:p w14:paraId="2F8B0336">
      <w:pPr>
        <w:adjustRightInd w:val="0"/>
        <w:snapToGrid w:val="0"/>
        <w:spacing w:after="240" w:line="480" w:lineRule="auto"/>
        <w:ind w:firstLine="480" w:firstLineChars="200"/>
        <w:jc w:val="left"/>
        <w:rPr>
          <w:rFonts w:ascii="宋体" w:hAnsi="宋体"/>
          <w:snapToGrid w:val="0"/>
          <w:color w:val="auto"/>
          <w:sz w:val="24"/>
          <w:highlight w:val="none"/>
        </w:rPr>
      </w:pPr>
      <w:r>
        <w:rPr>
          <w:rFonts w:hint="eastAsia" w:ascii="宋体" w:hAnsi="宋体"/>
          <w:snapToGrid w:val="0"/>
          <w:color w:val="auto"/>
          <w:sz w:val="24"/>
          <w:highlight w:val="none"/>
        </w:rPr>
        <w:t>本采购文件仅用于</w:t>
      </w:r>
      <w:r>
        <w:rPr>
          <w:rFonts w:hint="eastAsia" w:ascii="宋体" w:hAnsi="宋体" w:cs="Times New Roman"/>
          <w:snapToGrid w:val="0"/>
          <w:color w:val="auto"/>
          <w:sz w:val="24"/>
          <w:highlight w:val="none"/>
        </w:rPr>
        <w:t>株洲北斗应用与信息技术产业示范基地配套基础设施项目（一期）</w:t>
      </w:r>
      <w:r>
        <w:rPr>
          <w:rFonts w:hint="eastAsia" w:ascii="宋体" w:hAnsi="宋体" w:cs="Times New Roman"/>
          <w:snapToGrid w:val="0"/>
          <w:color w:val="auto"/>
          <w:sz w:val="24"/>
          <w:highlight w:val="none"/>
          <w:lang w:eastAsia="zh-CN"/>
        </w:rPr>
        <w:t>钢结构安装</w:t>
      </w:r>
      <w:r>
        <w:rPr>
          <w:rFonts w:hint="eastAsia" w:ascii="宋体" w:hAnsi="宋体"/>
          <w:snapToGrid w:val="0"/>
          <w:color w:val="auto"/>
          <w:sz w:val="24"/>
          <w:highlight w:val="none"/>
          <w:lang w:eastAsia="zh-CN"/>
        </w:rPr>
        <w:t>竞争性谈判</w:t>
      </w:r>
      <w:r>
        <w:rPr>
          <w:rFonts w:hint="eastAsia" w:ascii="宋体" w:hAnsi="宋体"/>
          <w:snapToGrid w:val="0"/>
          <w:color w:val="auto"/>
          <w:sz w:val="24"/>
          <w:highlight w:val="none"/>
        </w:rPr>
        <w:t>采购活动，</w:t>
      </w:r>
      <w:r>
        <w:rPr>
          <w:rFonts w:hint="eastAsia" w:ascii="宋体" w:hAnsi="宋体"/>
          <w:snapToGrid w:val="0"/>
          <w:color w:val="auto"/>
          <w:sz w:val="24"/>
          <w:highlight w:val="none"/>
          <w:lang w:eastAsia="zh-CN"/>
        </w:rPr>
        <w:t>株洲市云龙发展集团城市建设有限公司</w:t>
      </w:r>
      <w:r>
        <w:rPr>
          <w:rFonts w:hint="eastAsia" w:ascii="宋体" w:hAnsi="宋体"/>
          <w:snapToGrid w:val="0"/>
          <w:color w:val="auto"/>
          <w:sz w:val="24"/>
          <w:highlight w:val="none"/>
        </w:rPr>
        <w:t>对本采购文件及其内容享有解释权。本项目为企业</w:t>
      </w:r>
      <w:r>
        <w:rPr>
          <w:rFonts w:hint="eastAsia" w:ascii="宋体" w:hAnsi="宋体"/>
          <w:snapToGrid w:val="0"/>
          <w:color w:val="auto"/>
          <w:sz w:val="24"/>
          <w:highlight w:val="none"/>
          <w:lang w:eastAsia="zh-CN"/>
        </w:rPr>
        <w:t>自主</w:t>
      </w:r>
      <w:r>
        <w:rPr>
          <w:rFonts w:hint="eastAsia" w:ascii="宋体" w:hAnsi="宋体"/>
          <w:snapToGrid w:val="0"/>
          <w:color w:val="auto"/>
          <w:sz w:val="24"/>
          <w:highlight w:val="none"/>
        </w:rPr>
        <w:t>采购项目，非政府采购和招标项目，凡参加本项目采购活动的单位即视为无条件同意本申明，并保证对本采购文件涉及到的商业信息予以保护，除经</w:t>
      </w:r>
      <w:r>
        <w:rPr>
          <w:rFonts w:hint="eastAsia" w:ascii="宋体" w:hAnsi="宋体"/>
          <w:snapToGrid w:val="0"/>
          <w:color w:val="auto"/>
          <w:sz w:val="24"/>
          <w:highlight w:val="none"/>
          <w:lang w:eastAsia="zh-CN"/>
        </w:rPr>
        <w:t>株洲市云龙发展集团城市建设有限公司</w:t>
      </w:r>
      <w:r>
        <w:rPr>
          <w:rFonts w:hint="eastAsia" w:ascii="宋体" w:hAnsi="宋体"/>
          <w:snapToGrid w:val="0"/>
          <w:color w:val="auto"/>
          <w:sz w:val="24"/>
          <w:highlight w:val="none"/>
        </w:rPr>
        <w:t>书面同意外，任何单位和个人不得为参与本项目采购活动以外的目的而出版、复制、传播、销售及使用本采购文件。</w:t>
      </w:r>
    </w:p>
    <w:p w14:paraId="073E4CBC">
      <w:pPr>
        <w:adjustRightInd w:val="0"/>
        <w:snapToGrid w:val="0"/>
        <w:spacing w:after="240" w:line="480" w:lineRule="auto"/>
        <w:ind w:firstLine="480" w:firstLineChars="200"/>
        <w:jc w:val="left"/>
        <w:rPr>
          <w:rFonts w:ascii="宋体" w:hAnsi="宋体"/>
          <w:snapToGrid w:val="0"/>
          <w:color w:val="auto"/>
          <w:sz w:val="24"/>
          <w:highlight w:val="none"/>
        </w:rPr>
        <w:sectPr>
          <w:pgSz w:w="11906" w:h="16838"/>
          <w:pgMar w:top="1417" w:right="1417" w:bottom="1417" w:left="1417" w:header="851" w:footer="567" w:gutter="0"/>
          <w:pgBorders>
            <w:top w:val="none" w:sz="0" w:space="0"/>
            <w:left w:val="none" w:sz="0" w:space="0"/>
            <w:bottom w:val="none" w:sz="0" w:space="0"/>
            <w:right w:val="none" w:sz="0" w:space="0"/>
          </w:pgBorders>
          <w:cols w:space="0" w:num="1"/>
          <w:docGrid w:type="lines" w:linePitch="312" w:charSpace="0"/>
        </w:sectPr>
      </w:pPr>
      <w:r>
        <w:rPr>
          <w:rFonts w:hint="eastAsia" w:ascii="宋体" w:hAnsi="宋体"/>
          <w:snapToGrid w:val="0"/>
          <w:color w:val="auto"/>
          <w:sz w:val="24"/>
          <w:highlight w:val="none"/>
        </w:rPr>
        <w:t>供应商对本项目采购活动事项有疑问、质疑或者投诉的，应当按照本项目采购文件中的相关规定提出，否则，采购人或将不予受理。</w:t>
      </w:r>
    </w:p>
    <w:p w14:paraId="50A49B2D">
      <w:pPr>
        <w:rPr>
          <w:rFonts w:ascii="宋体" w:hAnsi="宋体" w:cs="宋体"/>
          <w:b/>
          <w:color w:val="auto"/>
          <w:sz w:val="24"/>
          <w:highlight w:val="none"/>
        </w:rPr>
      </w:pPr>
    </w:p>
    <w:p w14:paraId="4BD99488">
      <w:pPr>
        <w:spacing w:line="360" w:lineRule="exact"/>
        <w:jc w:val="center"/>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 xml:space="preserve">第一章  </w:t>
      </w:r>
      <w:r>
        <w:rPr>
          <w:rFonts w:hint="eastAsia" w:ascii="宋体" w:hAnsi="宋体" w:cs="宋体"/>
          <w:b/>
          <w:bCs/>
          <w:color w:val="auto"/>
          <w:sz w:val="32"/>
          <w:szCs w:val="32"/>
          <w:highlight w:val="none"/>
          <w:lang w:eastAsia="zh-CN"/>
        </w:rPr>
        <w:t>竞谈采购邀请书</w:t>
      </w:r>
    </w:p>
    <w:p w14:paraId="4CED162A">
      <w:pPr>
        <w:autoSpaceDE w:val="0"/>
        <w:autoSpaceDN w:val="0"/>
        <w:adjustRightInd w:val="0"/>
        <w:snapToGrid w:val="0"/>
        <w:jc w:val="left"/>
        <w:rPr>
          <w:rFonts w:ascii="宋体" w:hAnsi="宋体" w:cs="宋体"/>
          <w:color w:val="auto"/>
          <w:kern w:val="0"/>
          <w:szCs w:val="21"/>
          <w:highlight w:val="none"/>
        </w:rPr>
      </w:pPr>
    </w:p>
    <w:p w14:paraId="4A3FE677">
      <w:pPr>
        <w:autoSpaceDN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eastAsia="zh-CN"/>
        </w:rPr>
        <w:t>株洲市云龙发展集团城市建设有限公司</w:t>
      </w:r>
      <w:r>
        <w:rPr>
          <w:rFonts w:hint="eastAsia" w:ascii="宋体" w:hAnsi="宋体" w:cs="宋体"/>
          <w:color w:val="auto"/>
          <w:szCs w:val="21"/>
          <w:highlight w:val="none"/>
        </w:rPr>
        <w:t>对</w:t>
      </w:r>
      <w:r>
        <w:rPr>
          <w:rFonts w:hint="eastAsia" w:ascii="宋体" w:hAnsi="宋体" w:cs="宋体"/>
          <w:color w:val="auto"/>
          <w:szCs w:val="21"/>
          <w:highlight w:val="none"/>
          <w:u w:val="single"/>
          <w:lang w:eastAsia="zh-CN"/>
        </w:rPr>
        <w:t>株洲北斗应用与信息技术产业示范基地配套基础设施项目（一期）钢结构安装</w:t>
      </w:r>
      <w:r>
        <w:rPr>
          <w:rFonts w:hint="eastAsia" w:ascii="宋体" w:hAnsi="宋体" w:cs="宋体"/>
          <w:color w:val="auto"/>
          <w:szCs w:val="21"/>
          <w:highlight w:val="none"/>
        </w:rPr>
        <w:t>进行</w:t>
      </w:r>
      <w:r>
        <w:rPr>
          <w:rFonts w:hint="eastAsia" w:ascii="宋体" w:hAnsi="宋体" w:cs="宋体"/>
          <w:color w:val="auto"/>
          <w:szCs w:val="21"/>
          <w:highlight w:val="none"/>
          <w:lang w:eastAsia="zh-CN"/>
        </w:rPr>
        <w:t>竞争性谈判</w:t>
      </w:r>
      <w:r>
        <w:rPr>
          <w:rFonts w:hint="eastAsia" w:ascii="宋体" w:hAnsi="宋体" w:cs="宋体"/>
          <w:color w:val="auto"/>
          <w:szCs w:val="21"/>
          <w:highlight w:val="none"/>
        </w:rPr>
        <w:t>采购，现采用发布公告方式邀请符合资格条件的供应商参与本项目采购活动。</w:t>
      </w:r>
    </w:p>
    <w:p w14:paraId="286EF364">
      <w:pPr>
        <w:autoSpaceDN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1、项目概况</w:t>
      </w:r>
    </w:p>
    <w:p w14:paraId="551122DC">
      <w:pPr>
        <w:autoSpaceDN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 项目名称：株洲北斗应用与信息技术产业示范基地配套基础设施项目（一期）</w:t>
      </w:r>
      <w:r>
        <w:rPr>
          <w:rFonts w:hint="eastAsia" w:ascii="宋体" w:hAnsi="宋体" w:cs="宋体"/>
          <w:color w:val="auto"/>
          <w:szCs w:val="21"/>
          <w:highlight w:val="none"/>
          <w:lang w:eastAsia="zh-CN"/>
        </w:rPr>
        <w:t>钢结构安装</w:t>
      </w:r>
      <w:r>
        <w:rPr>
          <w:rFonts w:hint="eastAsia" w:ascii="宋体" w:hAnsi="宋体" w:cs="宋体"/>
          <w:color w:val="auto"/>
          <w:szCs w:val="21"/>
          <w:highlight w:val="none"/>
        </w:rPr>
        <w:t xml:space="preserve"> </w:t>
      </w:r>
    </w:p>
    <w:p w14:paraId="7521E1ED">
      <w:pPr>
        <w:pStyle w:val="33"/>
        <w:rPr>
          <w:rFonts w:hint="default" w:eastAsia="宋体"/>
          <w:color w:val="auto"/>
          <w:highlight w:val="none"/>
          <w:lang w:val="en-US" w:eastAsia="zh-CN"/>
        </w:rPr>
      </w:pPr>
      <w:r>
        <w:rPr>
          <w:rFonts w:hint="eastAsia" w:ascii="宋体" w:hAnsi="宋体" w:cs="宋体"/>
          <w:color w:val="auto"/>
          <w:szCs w:val="21"/>
          <w:highlight w:val="none"/>
          <w:lang w:val="en-US" w:eastAsia="zh-CN"/>
        </w:rPr>
        <w:t>1.2 编号：YFJS-YS202603-001</w:t>
      </w:r>
    </w:p>
    <w:p w14:paraId="0ED094A9">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仿宋_GB2312" w:hAnsi="宋体" w:eastAsia="仿宋_GB2312"/>
          <w:color w:val="auto"/>
          <w:sz w:val="28"/>
          <w:szCs w:val="28"/>
          <w:highlight w:val="none"/>
          <w:u w:val="none" w:color="auto"/>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xml:space="preserve"> 项目内容：本次采购范围为株洲北斗应用与信息技术产业示范基地配套基础设施项目（一期）</w:t>
      </w:r>
      <w:r>
        <w:rPr>
          <w:rFonts w:hint="eastAsia" w:ascii="宋体" w:hAnsi="宋体" w:cs="宋体"/>
          <w:color w:val="auto"/>
          <w:szCs w:val="21"/>
          <w:highlight w:val="none"/>
          <w:lang w:eastAsia="zh-CN"/>
        </w:rPr>
        <w:t>钢结构安装</w:t>
      </w:r>
      <w:r>
        <w:rPr>
          <w:rFonts w:hint="eastAsia" w:ascii="宋体" w:hAnsi="宋体" w:cs="宋体"/>
          <w:color w:val="auto"/>
          <w:szCs w:val="21"/>
          <w:highlight w:val="none"/>
        </w:rPr>
        <w:t>，</w:t>
      </w:r>
      <w:r>
        <w:rPr>
          <w:rFonts w:hint="eastAsia" w:ascii="宋体" w:hAnsi="宋体" w:cs="宋体"/>
          <w:color w:val="auto"/>
          <w:szCs w:val="21"/>
          <w:highlight w:val="none"/>
          <w:lang w:eastAsia="zh-CN"/>
        </w:rPr>
        <w:t>工作内容为</w:t>
      </w:r>
      <w:r>
        <w:rPr>
          <w:rFonts w:hint="eastAsia" w:ascii="宋体" w:hAnsi="宋体" w:eastAsia="宋体" w:cs="宋体"/>
          <w:color w:val="auto"/>
          <w:szCs w:val="21"/>
          <w:highlight w:val="none"/>
        </w:rPr>
        <w:t>施工图纸所示的全部工作内容，包括但不限于清单范围内预埋铁件（螺栓）、钢柱、钢支架、彩钢板包封、镀锌钢板天沟、压型钢板屋面、钢构件防腐涂料、防火涂料、复合保温一体化墙板</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零星钢构件等</w:t>
      </w:r>
      <w:r>
        <w:rPr>
          <w:rFonts w:hint="eastAsia" w:ascii="宋体" w:hAnsi="宋体" w:cs="宋体"/>
          <w:color w:val="auto"/>
          <w:szCs w:val="21"/>
          <w:highlight w:val="none"/>
          <w:lang w:val="en-US" w:eastAsia="zh-CN"/>
        </w:rPr>
        <w:t>的安装</w:t>
      </w:r>
      <w:r>
        <w:rPr>
          <w:rFonts w:hint="eastAsia" w:ascii="宋体" w:hAnsi="宋体" w:eastAsia="宋体" w:cs="宋体"/>
          <w:color w:val="auto"/>
          <w:szCs w:val="21"/>
          <w:highlight w:val="none"/>
        </w:rPr>
        <w:t>以及清单漏项的全部</w:t>
      </w:r>
      <w:r>
        <w:rPr>
          <w:rFonts w:hint="eastAsia" w:ascii="宋体" w:hAnsi="宋体" w:cs="宋体"/>
          <w:color w:val="auto"/>
          <w:szCs w:val="21"/>
          <w:highlight w:val="none"/>
          <w:lang w:val="en-US" w:eastAsia="zh-CN"/>
        </w:rPr>
        <w:t>安装</w:t>
      </w:r>
      <w:r>
        <w:rPr>
          <w:rFonts w:hint="eastAsia" w:ascii="宋体" w:hAnsi="宋体" w:eastAsia="宋体" w:cs="宋体"/>
          <w:color w:val="auto"/>
          <w:szCs w:val="21"/>
          <w:highlight w:val="none"/>
        </w:rPr>
        <w:t>内容。</w:t>
      </w:r>
    </w:p>
    <w:p w14:paraId="2EE693BE">
      <w:pPr>
        <w:autoSpaceDN w:val="0"/>
        <w:spacing w:line="360" w:lineRule="auto"/>
        <w:ind w:firstLine="420" w:firstLineChars="200"/>
        <w:jc w:val="left"/>
        <w:rPr>
          <w:rFonts w:hint="eastAsia"/>
          <w:color w:val="auto"/>
          <w:highlight w:val="none"/>
          <w:lang w:val="en-US" w:eastAsia="zh-CN"/>
        </w:rPr>
      </w:pPr>
      <w:r>
        <w:rPr>
          <w:rFonts w:hint="eastAsia" w:ascii="宋体" w:hAnsi="宋体" w:cs="宋体"/>
          <w:color w:val="auto"/>
          <w:szCs w:val="21"/>
          <w:highlight w:val="none"/>
          <w:lang w:val="en-US" w:eastAsia="zh-CN"/>
        </w:rPr>
        <w:t xml:space="preserve">1.4 </w:t>
      </w:r>
      <w:r>
        <w:rPr>
          <w:rFonts w:hint="eastAsia" w:ascii="宋体" w:hAnsi="宋体" w:cs="宋体"/>
          <w:color w:val="auto"/>
          <w:szCs w:val="21"/>
          <w:highlight w:val="none"/>
        </w:rPr>
        <w:t>具体详见本项目采购文件</w:t>
      </w:r>
      <w:r>
        <w:rPr>
          <w:rFonts w:hint="eastAsia" w:ascii="宋体" w:hAnsi="宋体" w:cs="宋体"/>
          <w:color w:val="auto"/>
          <w:szCs w:val="21"/>
          <w:highlight w:val="none"/>
          <w:lang w:eastAsia="zh-CN"/>
        </w:rPr>
        <w:t>第四章</w:t>
      </w:r>
      <w:r>
        <w:rPr>
          <w:rFonts w:hint="eastAsia" w:ascii="宋体" w:hAnsi="宋体" w:cs="宋体"/>
          <w:color w:val="auto"/>
          <w:szCs w:val="21"/>
          <w:highlight w:val="none"/>
        </w:rPr>
        <w:t>“采购需求”。</w:t>
      </w:r>
    </w:p>
    <w:p w14:paraId="668CFB93">
      <w:pPr>
        <w:autoSpaceDN w:val="0"/>
        <w:spacing w:line="360" w:lineRule="auto"/>
        <w:ind w:firstLine="422" w:firstLineChars="200"/>
        <w:jc w:val="left"/>
        <w:rPr>
          <w:rFonts w:hint="eastAsia" w:ascii="宋体" w:hAnsi="宋体" w:eastAsia="宋体"/>
          <w:b/>
          <w:bCs/>
          <w:color w:val="auto"/>
          <w:szCs w:val="21"/>
          <w:highlight w:val="none"/>
          <w:lang w:val="en-US" w:eastAsia="zh-CN"/>
        </w:rPr>
      </w:pPr>
      <w:r>
        <w:rPr>
          <w:rFonts w:hint="eastAsia" w:ascii="宋体" w:hAnsi="宋体"/>
          <w:b/>
          <w:bCs/>
          <w:color w:val="auto"/>
          <w:szCs w:val="21"/>
          <w:highlight w:val="none"/>
        </w:rPr>
        <w:t>1.</w:t>
      </w:r>
      <w:r>
        <w:rPr>
          <w:rFonts w:hint="eastAsia" w:ascii="宋体" w:hAnsi="宋体"/>
          <w:b/>
          <w:bCs/>
          <w:color w:val="auto"/>
          <w:szCs w:val="21"/>
          <w:highlight w:val="none"/>
          <w:lang w:val="en-US" w:eastAsia="zh-CN"/>
        </w:rPr>
        <w:t>5</w:t>
      </w:r>
      <w:r>
        <w:rPr>
          <w:rFonts w:hint="eastAsia" w:ascii="宋体" w:hAnsi="宋体"/>
          <w:b/>
          <w:bCs/>
          <w:color w:val="auto"/>
          <w:szCs w:val="21"/>
          <w:highlight w:val="none"/>
        </w:rPr>
        <w:t xml:space="preserve"> 采购预算</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1382856</w:t>
      </w:r>
      <w:r>
        <w:rPr>
          <w:rFonts w:hint="eastAsia" w:ascii="宋体" w:hAnsi="宋体" w:cs="宋体"/>
          <w:b/>
          <w:bCs/>
          <w:color w:val="auto"/>
          <w:szCs w:val="21"/>
          <w:highlight w:val="none"/>
        </w:rPr>
        <w:t>元</w:t>
      </w:r>
      <w:r>
        <w:rPr>
          <w:rFonts w:hint="eastAsia" w:ascii="宋体" w:hAnsi="宋体" w:cs="宋体"/>
          <w:b/>
          <w:bCs/>
          <w:color w:val="auto"/>
          <w:szCs w:val="21"/>
          <w:highlight w:val="none"/>
          <w:lang w:eastAsia="zh-CN"/>
        </w:rPr>
        <w:t>。</w:t>
      </w:r>
    </w:p>
    <w:p w14:paraId="73590164">
      <w:pPr>
        <w:pStyle w:val="30"/>
        <w:rPr>
          <w:color w:val="auto"/>
          <w:highlight w:val="none"/>
        </w:rPr>
      </w:pPr>
    </w:p>
    <w:p w14:paraId="4C4AF794">
      <w:pPr>
        <w:pStyle w:val="30"/>
        <w:rPr>
          <w:color w:val="auto"/>
          <w:highlight w:val="none"/>
        </w:rPr>
      </w:pPr>
    </w:p>
    <w:p w14:paraId="3F475FC9">
      <w:pPr>
        <w:tabs>
          <w:tab w:val="left" w:pos="8152"/>
        </w:tabs>
        <w:autoSpaceDN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2、供应商资格要求</w:t>
      </w:r>
      <w:r>
        <w:rPr>
          <w:rFonts w:hint="eastAsia" w:ascii="宋体" w:hAnsi="宋体" w:cs="宋体"/>
          <w:b/>
          <w:color w:val="auto"/>
          <w:szCs w:val="21"/>
          <w:highlight w:val="none"/>
        </w:rPr>
        <w:tab/>
      </w:r>
    </w:p>
    <w:p w14:paraId="187DA1D5">
      <w:pPr>
        <w:autoSpaceDN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 具有</w:t>
      </w:r>
      <w:r>
        <w:rPr>
          <w:rFonts w:hint="eastAsia" w:ascii="宋体" w:hAnsi="宋体" w:cs="宋体"/>
          <w:color w:val="auto"/>
          <w:szCs w:val="21"/>
          <w:highlight w:val="none"/>
          <w:lang w:eastAsia="zh-CN"/>
        </w:rPr>
        <w:t>独立承担民事责任的能力</w:t>
      </w:r>
      <w:r>
        <w:rPr>
          <w:rFonts w:hint="eastAsia" w:ascii="宋体" w:hAnsi="宋体" w:cs="宋体"/>
          <w:color w:val="auto"/>
          <w:szCs w:val="21"/>
          <w:highlight w:val="none"/>
        </w:rPr>
        <w:t>，</w:t>
      </w:r>
      <w:r>
        <w:rPr>
          <w:rFonts w:hint="eastAsia" w:ascii="宋体" w:hAnsi="宋体" w:cs="宋体"/>
          <w:color w:val="auto"/>
          <w:szCs w:val="21"/>
          <w:highlight w:val="none"/>
          <w:lang w:eastAsia="zh-CN"/>
        </w:rPr>
        <w:t>并</w:t>
      </w:r>
      <w:r>
        <w:rPr>
          <w:rFonts w:hint="eastAsia" w:ascii="宋体" w:hAnsi="宋体" w:cs="宋体"/>
          <w:color w:val="auto"/>
          <w:szCs w:val="21"/>
          <w:highlight w:val="none"/>
        </w:rPr>
        <w:t xml:space="preserve">依法取得有效的营业执照； </w:t>
      </w:r>
    </w:p>
    <w:p w14:paraId="380F764F">
      <w:pPr>
        <w:autoSpaceDN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 具有履行合同所必需的设备和专业技术能力；</w:t>
      </w:r>
    </w:p>
    <w:p w14:paraId="6E0741B6">
      <w:pPr>
        <w:autoSpaceDN w:val="0"/>
        <w:spacing w:line="360" w:lineRule="auto"/>
        <w:ind w:firstLine="422" w:firstLineChars="200"/>
        <w:jc w:val="left"/>
        <w:rPr>
          <w:rFonts w:hint="eastAsia" w:ascii="宋体" w:hAnsi="宋体" w:eastAsia="宋体"/>
          <w:b/>
          <w:bCs/>
          <w:color w:val="auto"/>
          <w:kern w:val="0"/>
          <w:szCs w:val="21"/>
          <w:highlight w:val="none"/>
        </w:rPr>
      </w:pPr>
      <w:r>
        <w:rPr>
          <w:rFonts w:hint="eastAsia" w:ascii="宋体" w:hAnsi="宋体" w:cs="宋体"/>
          <w:b/>
          <w:bCs/>
          <w:color w:val="auto"/>
          <w:szCs w:val="21"/>
          <w:highlight w:val="none"/>
        </w:rPr>
        <w:t xml:space="preserve">2.3 </w:t>
      </w:r>
      <w:r>
        <w:rPr>
          <w:rFonts w:hint="eastAsia" w:ascii="宋体" w:hAnsi="宋体" w:eastAsia="宋体"/>
          <w:b/>
          <w:bCs/>
          <w:color w:val="auto"/>
          <w:kern w:val="0"/>
          <w:szCs w:val="21"/>
          <w:highlight w:val="none"/>
        </w:rPr>
        <w:t>具备建设行政主管部门颁发的</w:t>
      </w:r>
      <w:r>
        <w:rPr>
          <w:rFonts w:hint="eastAsia" w:ascii="宋体" w:hAnsi="宋体"/>
          <w:b/>
          <w:bCs/>
          <w:color w:val="auto"/>
          <w:kern w:val="0"/>
          <w:szCs w:val="21"/>
          <w:highlight w:val="none"/>
          <w:lang w:val="en-US" w:eastAsia="zh-CN"/>
        </w:rPr>
        <w:t>钢结构工程专业承包三级及以上资质</w:t>
      </w:r>
      <w:r>
        <w:rPr>
          <w:rFonts w:hint="eastAsia" w:ascii="宋体" w:hAnsi="宋体" w:eastAsia="宋体"/>
          <w:b/>
          <w:bCs/>
          <w:color w:val="auto"/>
          <w:kern w:val="0"/>
          <w:szCs w:val="21"/>
          <w:highlight w:val="none"/>
        </w:rPr>
        <w:t>，安全生产许可证处于有效期；</w:t>
      </w:r>
    </w:p>
    <w:p w14:paraId="7EFF7004">
      <w:pPr>
        <w:autoSpaceDN w:val="0"/>
        <w:spacing w:line="360" w:lineRule="auto"/>
        <w:ind w:firstLine="420" w:firstLineChars="200"/>
        <w:jc w:val="left"/>
        <w:rPr>
          <w:rFonts w:hint="eastAsia" w:ascii="宋体" w:hAnsi="宋体" w:eastAsia="宋体"/>
          <w:color w:val="auto"/>
          <w:kern w:val="0"/>
          <w:szCs w:val="21"/>
          <w:highlight w:val="none"/>
          <w:lang w:eastAsia="zh-CN"/>
        </w:rPr>
      </w:pPr>
      <w:r>
        <w:rPr>
          <w:rFonts w:hint="eastAsia" w:ascii="宋体" w:hAnsi="宋体" w:eastAsia="宋体"/>
          <w:color w:val="auto"/>
          <w:kern w:val="0"/>
          <w:szCs w:val="21"/>
          <w:highlight w:val="none"/>
          <w:lang w:val="en-US" w:eastAsia="zh-CN"/>
        </w:rPr>
        <w:t xml:space="preserve">2.4 </w:t>
      </w:r>
      <w:r>
        <w:rPr>
          <w:rFonts w:hint="eastAsia" w:ascii="宋体" w:hAnsi="宋体" w:eastAsia="宋体"/>
          <w:color w:val="auto"/>
          <w:kern w:val="0"/>
          <w:szCs w:val="21"/>
          <w:highlight w:val="none"/>
        </w:rPr>
        <w:t>单位负责人为同一人或者存在直接控股、管理关系的不同</w:t>
      </w:r>
      <w:r>
        <w:rPr>
          <w:rFonts w:hint="eastAsia" w:ascii="宋体" w:hAnsi="宋体"/>
          <w:color w:val="auto"/>
          <w:kern w:val="0"/>
          <w:szCs w:val="21"/>
          <w:highlight w:val="none"/>
          <w:lang w:eastAsia="zh-CN"/>
        </w:rPr>
        <w:t>供应商</w:t>
      </w:r>
      <w:r>
        <w:rPr>
          <w:rFonts w:hint="eastAsia" w:ascii="宋体" w:hAnsi="宋体" w:eastAsia="宋体"/>
          <w:color w:val="auto"/>
          <w:kern w:val="0"/>
          <w:szCs w:val="21"/>
          <w:highlight w:val="none"/>
        </w:rPr>
        <w:t>，不得参加同一合同项下的采购活动</w:t>
      </w:r>
      <w:r>
        <w:rPr>
          <w:rFonts w:hint="eastAsia" w:ascii="宋体" w:hAnsi="宋体" w:eastAsia="宋体"/>
          <w:color w:val="auto"/>
          <w:kern w:val="0"/>
          <w:szCs w:val="21"/>
          <w:highlight w:val="none"/>
          <w:lang w:eastAsia="zh-CN"/>
        </w:rPr>
        <w:t>；</w:t>
      </w:r>
    </w:p>
    <w:p w14:paraId="0E4E96D3">
      <w:pPr>
        <w:autoSpaceDN w:val="0"/>
        <w:spacing w:line="360" w:lineRule="auto"/>
        <w:ind w:firstLine="420" w:firstLineChars="200"/>
        <w:jc w:val="left"/>
        <w:rPr>
          <w:rFonts w:ascii="宋体" w:hAnsi="宋体" w:cs="宋体"/>
          <w:color w:val="auto"/>
          <w:szCs w:val="21"/>
          <w:highlight w:val="none"/>
        </w:rPr>
      </w:pPr>
      <w:r>
        <w:rPr>
          <w:rFonts w:hint="eastAsia" w:ascii="宋体" w:hAnsi="宋体" w:eastAsia="宋体"/>
          <w:color w:val="auto"/>
          <w:kern w:val="0"/>
          <w:szCs w:val="21"/>
          <w:highlight w:val="none"/>
          <w:lang w:val="en-US" w:eastAsia="zh-CN"/>
        </w:rPr>
        <w:t xml:space="preserve">2.5 </w:t>
      </w:r>
      <w:r>
        <w:rPr>
          <w:rFonts w:hint="eastAsia" w:ascii="宋体" w:hAnsi="宋体" w:cs="宋体"/>
          <w:color w:val="auto"/>
          <w:szCs w:val="21"/>
          <w:highlight w:val="none"/>
        </w:rPr>
        <w:t>对列入失信被执行人、重大税收违法案件当事人名单的供应商，将被拒绝其参与本采购活动，</w:t>
      </w:r>
      <w:r>
        <w:rPr>
          <w:rFonts w:hint="eastAsia" w:ascii="宋体" w:hAnsi="宋体" w:cs="宋体"/>
          <w:b/>
          <w:bCs/>
          <w:color w:val="auto"/>
          <w:szCs w:val="21"/>
          <w:highlight w:val="none"/>
        </w:rPr>
        <w:t>需提供“信用中国”网站查询截图</w:t>
      </w:r>
      <w:r>
        <w:rPr>
          <w:rFonts w:hint="eastAsia" w:ascii="宋体" w:hAnsi="宋体" w:cs="宋体"/>
          <w:color w:val="auto"/>
          <w:szCs w:val="21"/>
          <w:highlight w:val="none"/>
        </w:rPr>
        <w:t>；</w:t>
      </w:r>
    </w:p>
    <w:p w14:paraId="3B67B22B">
      <w:pPr>
        <w:autoSpaceDN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 xml:space="preserve"> 本次采购不接受联合体参加。</w:t>
      </w:r>
    </w:p>
    <w:p w14:paraId="4828361F">
      <w:pPr>
        <w:autoSpaceDN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3、获取采购文件的时间、地点及方式</w:t>
      </w:r>
    </w:p>
    <w:p w14:paraId="5BAF89AA">
      <w:pPr>
        <w:tabs>
          <w:tab w:val="left" w:pos="540"/>
          <w:tab w:val="left" w:pos="2880"/>
          <w:tab w:val="left" w:pos="3060"/>
        </w:tabs>
        <w:autoSpaceDN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 获取采购文件的时间：从</w:t>
      </w:r>
      <w:r>
        <w:rPr>
          <w:rFonts w:hint="eastAsia" w:ascii="宋体" w:hAnsi="宋体" w:cs="宋体"/>
          <w:color w:val="auto"/>
          <w:szCs w:val="21"/>
          <w:highlight w:val="none"/>
          <w:lang w:eastAsia="zh-CN"/>
        </w:rPr>
        <w:t>2026</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4 月 8 </w:t>
      </w:r>
      <w:r>
        <w:rPr>
          <w:rFonts w:hint="eastAsia" w:ascii="宋体" w:hAnsi="宋体" w:cs="宋体"/>
          <w:color w:val="auto"/>
          <w:szCs w:val="21"/>
          <w:highlight w:val="none"/>
        </w:rPr>
        <w:t>日起至</w:t>
      </w:r>
      <w:r>
        <w:rPr>
          <w:rFonts w:hint="eastAsia" w:ascii="宋体" w:hAnsi="宋体" w:cs="宋体"/>
          <w:color w:val="auto"/>
          <w:szCs w:val="21"/>
          <w:highlight w:val="none"/>
          <w:lang w:eastAsia="zh-CN"/>
        </w:rPr>
        <w:t>2026</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4 月12</w:t>
      </w:r>
      <w:bookmarkStart w:id="53" w:name="_GoBack"/>
      <w:bookmarkEnd w:id="53"/>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日止，每天上午8:30至12:00，下午1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0至17：30（北京时间</w:t>
      </w:r>
      <w:r>
        <w:rPr>
          <w:rFonts w:hint="eastAsia" w:ascii="宋体" w:hAnsi="宋体" w:cs="宋体"/>
          <w:color w:val="auto"/>
          <w:szCs w:val="21"/>
          <w:highlight w:val="none"/>
          <w:lang w:eastAsia="zh-CN"/>
        </w:rPr>
        <w:t>，周六、周日正常上班</w:t>
      </w:r>
      <w:r>
        <w:rPr>
          <w:rFonts w:hint="eastAsia" w:ascii="宋体" w:hAnsi="宋体" w:cs="宋体"/>
          <w:color w:val="auto"/>
          <w:szCs w:val="21"/>
          <w:highlight w:val="none"/>
        </w:rPr>
        <w:t>）。</w:t>
      </w:r>
    </w:p>
    <w:p w14:paraId="75395B83">
      <w:pPr>
        <w:tabs>
          <w:tab w:val="left" w:pos="540"/>
          <w:tab w:val="left" w:pos="2880"/>
          <w:tab w:val="left" w:pos="3060"/>
        </w:tabs>
        <w:autoSpaceDN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3.2 获取采购文件的地点：（</w:t>
      </w:r>
      <w:r>
        <w:rPr>
          <w:rFonts w:hint="eastAsia" w:ascii="宋体" w:hAnsi="宋体" w:cs="宋体"/>
          <w:color w:val="auto"/>
          <w:szCs w:val="21"/>
          <w:highlight w:val="none"/>
          <w:lang w:val="en-US" w:eastAsia="zh-CN"/>
        </w:rPr>
        <w:t>株洲市云龙发展集团城市建设有限公司数字化招采平台http://www.yfjszc.com</w:t>
      </w:r>
      <w:r>
        <w:rPr>
          <w:rFonts w:hint="eastAsia" w:ascii="宋体" w:hAnsi="宋体" w:cs="宋体"/>
          <w:color w:val="auto"/>
          <w:szCs w:val="21"/>
          <w:highlight w:val="none"/>
        </w:rPr>
        <w:t>）</w:t>
      </w:r>
    </w:p>
    <w:p w14:paraId="7842DD32">
      <w:pPr>
        <w:tabs>
          <w:tab w:val="left" w:pos="540"/>
          <w:tab w:val="left" w:pos="2880"/>
          <w:tab w:val="left" w:pos="3060"/>
        </w:tabs>
        <w:autoSpaceDN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 采购文件售价：</w:t>
      </w:r>
      <w:r>
        <w:rPr>
          <w:rFonts w:hint="eastAsia" w:ascii="宋体" w:hAnsi="宋体" w:cs="宋体"/>
          <w:color w:val="auto"/>
          <w:szCs w:val="21"/>
          <w:highlight w:val="none"/>
          <w:lang w:val="en-US" w:eastAsia="zh-CN"/>
        </w:rPr>
        <w:t>本次招标文件以指定方式下载获取，不收取费用</w:t>
      </w:r>
      <w:r>
        <w:rPr>
          <w:rFonts w:hint="eastAsia" w:ascii="宋体" w:hAnsi="宋体" w:cs="宋体"/>
          <w:color w:val="auto"/>
          <w:szCs w:val="21"/>
          <w:highlight w:val="none"/>
        </w:rPr>
        <w:t>。</w:t>
      </w:r>
    </w:p>
    <w:p w14:paraId="1EA0B6F6">
      <w:pPr>
        <w:tabs>
          <w:tab w:val="left" w:pos="540"/>
          <w:tab w:val="left" w:pos="2880"/>
          <w:tab w:val="left" w:pos="3060"/>
        </w:tabs>
        <w:autoSpaceDN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3.4 获取采购文件的材料要求：本人身份证原件、供应商法定代表人身份证明或供应商法人授权书、供应商营业执照副本</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资质证书副本</w:t>
      </w:r>
      <w:r>
        <w:rPr>
          <w:rFonts w:hint="eastAsia" w:ascii="宋体" w:hAnsi="宋体" w:cs="宋体"/>
          <w:color w:val="auto"/>
          <w:szCs w:val="21"/>
          <w:highlight w:val="none"/>
        </w:rPr>
        <w:t>复印件并加盖供应商单位公章。</w:t>
      </w:r>
    </w:p>
    <w:p w14:paraId="15AA0629">
      <w:pPr>
        <w:tabs>
          <w:tab w:val="left" w:pos="540"/>
          <w:tab w:val="left" w:pos="2880"/>
          <w:tab w:val="left" w:pos="3060"/>
        </w:tabs>
        <w:autoSpaceDN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3.5 获取采购文件的方式：指定地点</w:t>
      </w:r>
      <w:r>
        <w:rPr>
          <w:rFonts w:hint="eastAsia" w:ascii="宋体" w:hAnsi="宋体" w:cs="宋体"/>
          <w:color w:val="auto"/>
          <w:szCs w:val="21"/>
          <w:highlight w:val="none"/>
          <w:lang w:eastAsia="zh-CN"/>
        </w:rPr>
        <w:t>获取（株洲市云龙发展集团城市建设有限公司</w:t>
      </w:r>
      <w:r>
        <w:rPr>
          <w:rFonts w:hint="eastAsia" w:ascii="宋体" w:hAnsi="宋体" w:cs="宋体"/>
          <w:color w:val="auto"/>
          <w:szCs w:val="21"/>
          <w:highlight w:val="none"/>
          <w:lang w:val="en-US" w:eastAsia="zh-CN"/>
        </w:rPr>
        <w:t>http://www.yfjszc.com</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7CEBAE66">
      <w:pPr>
        <w:autoSpaceDN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4、资格审查方式</w:t>
      </w:r>
    </w:p>
    <w:p w14:paraId="6AA189E0">
      <w:pPr>
        <w:tabs>
          <w:tab w:val="left" w:pos="540"/>
          <w:tab w:val="left" w:pos="2880"/>
          <w:tab w:val="left" w:pos="3060"/>
        </w:tabs>
        <w:autoSpaceDN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本项目资格审查方式为资格后审，即在开标后由评审委员会负责资格审查。</w:t>
      </w:r>
    </w:p>
    <w:p w14:paraId="30744231">
      <w:pPr>
        <w:autoSpaceDN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5、响应文件提交的截止时间、开启时间及地点</w:t>
      </w:r>
    </w:p>
    <w:p w14:paraId="2A4C329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5.1响应文件递交截止时间：</w:t>
      </w:r>
      <w:r>
        <w:rPr>
          <w:rFonts w:hint="eastAsia" w:ascii="宋体" w:hAnsi="宋体" w:cs="宋体"/>
          <w:color w:val="auto"/>
          <w:szCs w:val="21"/>
          <w:highlight w:val="none"/>
          <w:lang w:eastAsia="zh-CN"/>
        </w:rPr>
        <w:t>2026</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4月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13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9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00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w:t>
      </w:r>
    </w:p>
    <w:p w14:paraId="6E4442A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 响应文件的开启时间：</w:t>
      </w:r>
      <w:r>
        <w:rPr>
          <w:rFonts w:hint="eastAsia" w:ascii="宋体" w:hAnsi="宋体" w:cs="宋体"/>
          <w:color w:val="auto"/>
          <w:szCs w:val="21"/>
          <w:highlight w:val="none"/>
          <w:lang w:eastAsia="zh-CN"/>
        </w:rPr>
        <w:t>2026</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 xml:space="preserve"> 4月13</w:t>
      </w:r>
      <w:r>
        <w:rPr>
          <w:rFonts w:hint="eastAsia" w:ascii="宋体" w:hAnsi="宋体" w:cs="宋体"/>
          <w:color w:val="auto"/>
          <w:szCs w:val="21"/>
          <w:highlight w:val="none"/>
        </w:rPr>
        <w:t>日</w:t>
      </w:r>
      <w:r>
        <w:rPr>
          <w:rFonts w:hint="eastAsia" w:ascii="宋体" w:hAnsi="宋体" w:cs="宋体"/>
          <w:color w:val="auto"/>
          <w:szCs w:val="21"/>
          <w:highlight w:val="none"/>
          <w:u w:val="single"/>
          <w:lang w:val="en-US" w:eastAsia="zh-CN"/>
        </w:rPr>
        <w:t xml:space="preserve"> 9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00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w:t>
      </w:r>
    </w:p>
    <w:p w14:paraId="74F1232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 响应文件的递交及开启地点：</w:t>
      </w:r>
      <w:r>
        <w:rPr>
          <w:rFonts w:hint="eastAsia" w:ascii="宋体" w:hAnsi="宋体" w:cs="宋体"/>
          <w:color w:val="auto"/>
          <w:szCs w:val="21"/>
          <w:highlight w:val="none"/>
          <w:lang w:eastAsia="zh-CN"/>
        </w:rPr>
        <w:t>株洲市石峰区云龙大道</w:t>
      </w:r>
      <w:r>
        <w:rPr>
          <w:rFonts w:hint="eastAsia" w:ascii="宋体" w:hAnsi="宋体" w:cs="宋体"/>
          <w:color w:val="auto"/>
          <w:szCs w:val="21"/>
          <w:highlight w:val="none"/>
          <w:lang w:val="en-US" w:eastAsia="zh-CN"/>
        </w:rPr>
        <w:t>88号管委会727室</w:t>
      </w:r>
      <w:r>
        <w:rPr>
          <w:rFonts w:hint="eastAsia" w:ascii="宋体" w:hAnsi="宋体" w:cs="宋体"/>
          <w:color w:val="auto"/>
          <w:szCs w:val="21"/>
          <w:highlight w:val="none"/>
        </w:rPr>
        <w:t>。</w:t>
      </w:r>
    </w:p>
    <w:p w14:paraId="4C02A063">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5.4 未按本项目邀请公告第3条获取采购文件或逾期</w:t>
      </w:r>
      <w:r>
        <w:rPr>
          <w:rFonts w:hint="eastAsia" w:ascii="宋体" w:hAnsi="宋体" w:cs="宋体"/>
          <w:color w:val="auto"/>
          <w:szCs w:val="21"/>
          <w:highlight w:val="none"/>
          <w:lang w:eastAsia="zh-CN"/>
        </w:rPr>
        <w:t>上传</w:t>
      </w:r>
      <w:r>
        <w:rPr>
          <w:rFonts w:hint="eastAsia" w:ascii="宋体" w:hAnsi="宋体" w:cs="宋体"/>
          <w:color w:val="auto"/>
          <w:szCs w:val="21"/>
          <w:highlight w:val="none"/>
        </w:rPr>
        <w:t>的或未按要求密封的响应文件，不予受理。</w:t>
      </w:r>
    </w:p>
    <w:p w14:paraId="7C63093A">
      <w:pPr>
        <w:autoSpaceDN w:val="0"/>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6、采购人补充的其它内容</w:t>
      </w:r>
    </w:p>
    <w:p w14:paraId="5648DF75">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6.1 购买采购文件的同时，供应商须向留下通讯联系方式。自购买采购文件之日起，供应商应确保其向提供的通讯手段（电话、传真、电子邮件）保持畅通（包括节假日和休息时间），以保证往来函件（通知、澄清等）能及时告知供应商并保证能即时反馈信息，否则由此引起的一切后果由供应商承担。</w:t>
      </w:r>
    </w:p>
    <w:p w14:paraId="04BE16C4">
      <w:pPr>
        <w:spacing w:line="440" w:lineRule="exact"/>
        <w:rPr>
          <w:rFonts w:ascii="宋体" w:hAnsi="宋体" w:cs="宋体"/>
          <w:color w:val="auto"/>
          <w:szCs w:val="21"/>
          <w:highlight w:val="none"/>
        </w:rPr>
      </w:pPr>
      <w:r>
        <w:rPr>
          <w:rFonts w:hint="eastAsia" w:ascii="宋体" w:hAnsi="宋体"/>
          <w:b/>
          <w:bCs/>
          <w:color w:val="auto"/>
          <w:szCs w:val="21"/>
          <w:highlight w:val="none"/>
        </w:rPr>
        <w:t>7、</w:t>
      </w:r>
      <w:r>
        <w:rPr>
          <w:rFonts w:hint="eastAsia" w:hAnsi="宋体" w:cs="宋体"/>
          <w:b/>
          <w:bCs/>
          <w:color w:val="auto"/>
          <w:szCs w:val="21"/>
          <w:highlight w:val="none"/>
        </w:rPr>
        <w:t>发布公告的媒介</w:t>
      </w:r>
    </w:p>
    <w:p w14:paraId="2F0684C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本项目</w:t>
      </w:r>
      <w:r>
        <w:rPr>
          <w:rFonts w:hint="eastAsia" w:ascii="宋体" w:hAnsi="宋体" w:cs="宋体"/>
          <w:color w:val="auto"/>
          <w:szCs w:val="21"/>
          <w:highlight w:val="none"/>
          <w:lang w:eastAsia="zh-CN"/>
        </w:rPr>
        <w:t>竞谈采购邀请书</w:t>
      </w:r>
      <w:r>
        <w:rPr>
          <w:rFonts w:hint="eastAsia" w:ascii="宋体" w:hAnsi="宋体" w:cs="宋体"/>
          <w:color w:val="auto"/>
          <w:szCs w:val="21"/>
          <w:highlight w:val="none"/>
        </w:rPr>
        <w:t>仅在株洲市北斗产业发展投资控股集团有限公司</w:t>
      </w:r>
      <w:r>
        <w:rPr>
          <w:rFonts w:hint="eastAsia" w:ascii="宋体" w:hAnsi="宋体"/>
          <w:color w:val="auto"/>
          <w:szCs w:val="21"/>
          <w:highlight w:val="none"/>
        </w:rPr>
        <w:t>（http://www.zzylfz.com/）</w:t>
      </w:r>
      <w:r>
        <w:rPr>
          <w:rFonts w:hint="eastAsia" w:ascii="宋体" w:hAnsi="宋体"/>
          <w:color w:val="auto"/>
          <w:szCs w:val="21"/>
          <w:highlight w:val="none"/>
          <w:lang w:eastAsia="zh-CN"/>
        </w:rPr>
        <w:t>及株洲市云龙发展集团城市建设有限公司数字化招采平台（</w:t>
      </w:r>
      <w:r>
        <w:rPr>
          <w:rFonts w:hint="eastAsia" w:ascii="宋体" w:hAnsi="宋体"/>
          <w:color w:val="auto"/>
          <w:szCs w:val="21"/>
          <w:highlight w:val="none"/>
          <w:lang w:val="en-US" w:eastAsia="zh-CN"/>
        </w:rPr>
        <w:t>http://www.yfjszc.com</w:t>
      </w:r>
      <w:r>
        <w:rPr>
          <w:rFonts w:hint="eastAsia" w:ascii="宋体" w:hAnsi="宋体"/>
          <w:color w:val="auto"/>
          <w:szCs w:val="21"/>
          <w:highlight w:val="none"/>
          <w:lang w:eastAsia="zh-CN"/>
        </w:rPr>
        <w:t>）</w:t>
      </w:r>
      <w:r>
        <w:rPr>
          <w:rFonts w:hint="eastAsia" w:ascii="宋体" w:hAnsi="宋体"/>
          <w:color w:val="auto"/>
          <w:szCs w:val="21"/>
          <w:highlight w:val="none"/>
        </w:rPr>
        <w:t>上发布。供应商从</w:t>
      </w:r>
      <w:r>
        <w:rPr>
          <w:rFonts w:hint="eastAsia" w:ascii="宋体" w:hAnsi="宋体"/>
          <w:color w:val="auto"/>
          <w:szCs w:val="21"/>
          <w:highlight w:val="none"/>
          <w:lang w:eastAsia="zh-CN"/>
        </w:rPr>
        <w:t>上述</w:t>
      </w:r>
      <w:r>
        <w:rPr>
          <w:rFonts w:hint="eastAsia" w:ascii="宋体" w:hAnsi="宋体"/>
          <w:color w:val="auto"/>
          <w:szCs w:val="21"/>
          <w:highlight w:val="none"/>
        </w:rPr>
        <w:t>网站之外获取本项目信息并由此引发的后果，均由供应商自行承担。</w:t>
      </w:r>
    </w:p>
    <w:p w14:paraId="5B221E71">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8、联系方式</w:t>
      </w:r>
    </w:p>
    <w:p w14:paraId="36AF6AB0">
      <w:pPr>
        <w:spacing w:line="440" w:lineRule="exact"/>
        <w:ind w:firstLine="420" w:firstLineChars="200"/>
        <w:rPr>
          <w:rFonts w:hint="eastAsia" w:ascii="宋体" w:hAnsi="宋体"/>
          <w:color w:val="auto"/>
          <w:szCs w:val="22"/>
          <w:highlight w:val="none"/>
        </w:rPr>
      </w:pPr>
      <w:r>
        <w:rPr>
          <w:rFonts w:hint="eastAsia" w:ascii="宋体" w:hAnsi="宋体"/>
          <w:color w:val="auto"/>
          <w:szCs w:val="22"/>
          <w:highlight w:val="none"/>
        </w:rPr>
        <w:t>采 购 人：株洲市云龙发展集团城市建设有限公司</w:t>
      </w:r>
    </w:p>
    <w:p w14:paraId="4CCE4C81">
      <w:pPr>
        <w:spacing w:line="440" w:lineRule="exact"/>
        <w:ind w:firstLine="420" w:firstLineChars="200"/>
        <w:rPr>
          <w:rFonts w:hint="eastAsia" w:ascii="宋体" w:hAnsi="宋体"/>
          <w:color w:val="auto"/>
          <w:szCs w:val="22"/>
          <w:highlight w:val="none"/>
        </w:rPr>
      </w:pPr>
      <w:r>
        <w:rPr>
          <w:rFonts w:hint="eastAsia" w:ascii="宋体" w:hAnsi="宋体"/>
          <w:color w:val="auto"/>
          <w:szCs w:val="22"/>
          <w:highlight w:val="none"/>
        </w:rPr>
        <w:t>地    址：株洲云龙示范区云龙大道88号</w:t>
      </w:r>
    </w:p>
    <w:p w14:paraId="5A1692BC">
      <w:pPr>
        <w:spacing w:line="440" w:lineRule="exact"/>
        <w:ind w:firstLine="420" w:firstLineChars="200"/>
        <w:rPr>
          <w:rFonts w:hint="default" w:ascii="宋体" w:hAnsi="宋体" w:eastAsia="宋体"/>
          <w:color w:val="auto"/>
          <w:szCs w:val="22"/>
          <w:highlight w:val="none"/>
          <w:lang w:val="en-US" w:eastAsia="zh-CN"/>
        </w:rPr>
      </w:pPr>
      <w:r>
        <w:rPr>
          <w:rFonts w:hint="eastAsia" w:ascii="宋体" w:hAnsi="宋体"/>
          <w:color w:val="auto"/>
          <w:szCs w:val="22"/>
          <w:highlight w:val="none"/>
        </w:rPr>
        <w:t>联 系 人：</w:t>
      </w:r>
      <w:r>
        <w:rPr>
          <w:rFonts w:hint="eastAsia" w:ascii="宋体" w:hAnsi="宋体"/>
          <w:color w:val="auto"/>
          <w:szCs w:val="22"/>
          <w:highlight w:val="none"/>
          <w:lang w:val="en-US" w:eastAsia="zh-CN"/>
        </w:rPr>
        <w:t xml:space="preserve"> 丑文沛</w:t>
      </w:r>
    </w:p>
    <w:p w14:paraId="5CD2D31D">
      <w:pPr>
        <w:spacing w:line="440" w:lineRule="exact"/>
        <w:ind w:firstLine="420" w:firstLineChars="200"/>
        <w:rPr>
          <w:rFonts w:hint="default" w:ascii="宋体" w:hAnsi="宋体" w:eastAsia="宋体"/>
          <w:color w:val="auto"/>
          <w:szCs w:val="22"/>
          <w:highlight w:val="none"/>
          <w:lang w:val="en-US" w:eastAsia="zh-CN"/>
        </w:rPr>
      </w:pPr>
      <w:r>
        <w:rPr>
          <w:rFonts w:hint="eastAsia" w:ascii="宋体" w:hAnsi="宋体"/>
          <w:color w:val="auto"/>
          <w:szCs w:val="22"/>
          <w:highlight w:val="none"/>
        </w:rPr>
        <w:t>电    话：</w:t>
      </w:r>
      <w:r>
        <w:rPr>
          <w:rFonts w:hint="eastAsia" w:ascii="宋体" w:hAnsi="宋体"/>
          <w:color w:val="auto"/>
          <w:szCs w:val="22"/>
          <w:highlight w:val="none"/>
          <w:lang w:val="en-US" w:eastAsia="zh-CN"/>
        </w:rPr>
        <w:t xml:space="preserve"> 0731-28689974</w:t>
      </w:r>
    </w:p>
    <w:p w14:paraId="3BA6BCFB">
      <w:pP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page"/>
      </w:r>
    </w:p>
    <w:p w14:paraId="6D367E15">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第二章  供应商须知</w:t>
      </w:r>
    </w:p>
    <w:p w14:paraId="639FE0D2">
      <w:pPr>
        <w:pStyle w:val="7"/>
        <w:ind w:left="0" w:leftChars="0" w:firstLine="0" w:firstLineChars="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供应商须知前附表</w:t>
      </w:r>
    </w:p>
    <w:tbl>
      <w:tblPr>
        <w:tblStyle w:val="20"/>
        <w:tblW w:w="912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1725"/>
        <w:gridCol w:w="5898"/>
      </w:tblGrid>
      <w:tr w14:paraId="7DA768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97" w:type="dxa"/>
            <w:tcBorders>
              <w:tl2br w:val="nil"/>
              <w:tr2bl w:val="nil"/>
            </w:tcBorders>
            <w:vAlign w:val="center"/>
          </w:tcPr>
          <w:p w14:paraId="2B2A3A63">
            <w:pPr>
              <w:keepNext w:val="0"/>
              <w:keepLines w:val="0"/>
              <w:pageBreakBefore w:val="0"/>
              <w:widowControl w:val="0"/>
              <w:kinsoku/>
              <w:wordWrap/>
              <w:overflowPunct/>
              <w:topLinePunct w:val="0"/>
              <w:autoSpaceDE/>
              <w:bidi w:val="0"/>
              <w:adjustRightInd w:val="0"/>
              <w:snapToGrid w:val="0"/>
              <w:spacing w:line="240" w:lineRule="auto"/>
              <w:jc w:val="center"/>
              <w:textAlignment w:val="auto"/>
              <w:rPr>
                <w:rFonts w:ascii="宋体" w:hAnsi="宋体"/>
                <w:b/>
                <w:color w:val="auto"/>
                <w:szCs w:val="21"/>
                <w:highlight w:val="none"/>
              </w:rPr>
            </w:pPr>
            <w:r>
              <w:rPr>
                <w:rFonts w:hint="eastAsia" w:ascii="宋体" w:hAnsi="宋体"/>
                <w:b/>
                <w:color w:val="auto"/>
                <w:szCs w:val="21"/>
                <w:highlight w:val="none"/>
              </w:rPr>
              <w:t>条款号</w:t>
            </w:r>
          </w:p>
        </w:tc>
        <w:tc>
          <w:tcPr>
            <w:tcW w:w="1725" w:type="dxa"/>
            <w:tcBorders>
              <w:tl2br w:val="nil"/>
              <w:tr2bl w:val="nil"/>
            </w:tcBorders>
            <w:vAlign w:val="center"/>
          </w:tcPr>
          <w:p w14:paraId="7E6FBC09">
            <w:pPr>
              <w:keepNext w:val="0"/>
              <w:keepLines w:val="0"/>
              <w:pageBreakBefore w:val="0"/>
              <w:widowControl w:val="0"/>
              <w:kinsoku/>
              <w:wordWrap/>
              <w:overflowPunct/>
              <w:topLinePunct w:val="0"/>
              <w:autoSpaceDE/>
              <w:bidi w:val="0"/>
              <w:adjustRightInd w:val="0"/>
              <w:snapToGrid w:val="0"/>
              <w:spacing w:line="240" w:lineRule="auto"/>
              <w:jc w:val="center"/>
              <w:textAlignment w:val="auto"/>
              <w:rPr>
                <w:rFonts w:ascii="宋体" w:hAnsi="宋体"/>
                <w:b/>
                <w:color w:val="auto"/>
                <w:szCs w:val="21"/>
                <w:highlight w:val="none"/>
              </w:rPr>
            </w:pPr>
            <w:r>
              <w:rPr>
                <w:rFonts w:hint="eastAsia" w:ascii="宋体" w:hAnsi="宋体"/>
                <w:b/>
                <w:color w:val="auto"/>
                <w:szCs w:val="21"/>
                <w:highlight w:val="none"/>
              </w:rPr>
              <w:t>条款名称</w:t>
            </w:r>
          </w:p>
        </w:tc>
        <w:tc>
          <w:tcPr>
            <w:tcW w:w="5898" w:type="dxa"/>
            <w:tcBorders>
              <w:tl2br w:val="nil"/>
              <w:tr2bl w:val="nil"/>
            </w:tcBorders>
            <w:vAlign w:val="center"/>
          </w:tcPr>
          <w:p w14:paraId="3DB74E74">
            <w:pPr>
              <w:keepNext w:val="0"/>
              <w:keepLines w:val="0"/>
              <w:pageBreakBefore w:val="0"/>
              <w:widowControl w:val="0"/>
              <w:kinsoku/>
              <w:wordWrap/>
              <w:overflowPunct/>
              <w:topLinePunct w:val="0"/>
              <w:autoSpaceDE/>
              <w:bidi w:val="0"/>
              <w:adjustRightInd w:val="0"/>
              <w:snapToGrid w:val="0"/>
              <w:spacing w:line="240" w:lineRule="auto"/>
              <w:jc w:val="center"/>
              <w:textAlignment w:val="auto"/>
              <w:rPr>
                <w:rFonts w:ascii="宋体" w:hAnsi="宋体"/>
                <w:b/>
                <w:color w:val="auto"/>
                <w:szCs w:val="21"/>
                <w:highlight w:val="none"/>
              </w:rPr>
            </w:pPr>
            <w:r>
              <w:rPr>
                <w:rFonts w:hint="eastAsia" w:ascii="宋体" w:hAnsi="宋体"/>
                <w:b/>
                <w:color w:val="auto"/>
                <w:szCs w:val="21"/>
                <w:highlight w:val="none"/>
              </w:rPr>
              <w:t>编列内容规定</w:t>
            </w:r>
          </w:p>
        </w:tc>
      </w:tr>
      <w:tr w14:paraId="158A53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0" w:type="dxa"/>
            <w:gridSpan w:val="3"/>
            <w:tcBorders>
              <w:tl2br w:val="nil"/>
              <w:tr2bl w:val="nil"/>
            </w:tcBorders>
            <w:vAlign w:val="center"/>
          </w:tcPr>
          <w:p w14:paraId="47B38A06">
            <w:pPr>
              <w:keepNext w:val="0"/>
              <w:keepLines w:val="0"/>
              <w:pageBreakBefore w:val="0"/>
              <w:widowControl w:val="0"/>
              <w:kinsoku/>
              <w:wordWrap/>
              <w:overflowPunct/>
              <w:topLinePunct w:val="0"/>
              <w:autoSpaceDE/>
              <w:bidi w:val="0"/>
              <w:adjustRightInd w:val="0"/>
              <w:snapToGrid w:val="0"/>
              <w:spacing w:line="240" w:lineRule="auto"/>
              <w:textAlignment w:val="auto"/>
              <w:rPr>
                <w:rFonts w:ascii="宋体" w:hAnsi="宋体"/>
                <w:color w:val="auto"/>
                <w:szCs w:val="21"/>
                <w:highlight w:val="none"/>
              </w:rPr>
            </w:pPr>
            <w:r>
              <w:rPr>
                <w:rFonts w:hint="eastAsia" w:ascii="宋体" w:hAnsi="宋体"/>
                <w:b/>
                <w:color w:val="auto"/>
                <w:szCs w:val="21"/>
                <w:highlight w:val="none"/>
              </w:rPr>
              <w:t>一、说明</w:t>
            </w:r>
          </w:p>
        </w:tc>
      </w:tr>
      <w:tr w14:paraId="7DBB9E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97" w:type="dxa"/>
            <w:tcBorders>
              <w:tl2br w:val="nil"/>
              <w:tr2bl w:val="nil"/>
            </w:tcBorders>
            <w:vAlign w:val="center"/>
          </w:tcPr>
          <w:p w14:paraId="6C024293">
            <w:pPr>
              <w:keepNext w:val="0"/>
              <w:keepLines w:val="0"/>
              <w:pageBreakBefore w:val="0"/>
              <w:widowControl w:val="0"/>
              <w:kinsoku/>
              <w:wordWrap/>
              <w:overflowPunct/>
              <w:topLinePunct w:val="0"/>
              <w:autoSpaceDE/>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第1.1款</w:t>
            </w:r>
          </w:p>
        </w:tc>
        <w:tc>
          <w:tcPr>
            <w:tcW w:w="1725" w:type="dxa"/>
            <w:tcBorders>
              <w:tl2br w:val="nil"/>
              <w:tr2bl w:val="nil"/>
            </w:tcBorders>
            <w:vAlign w:val="center"/>
          </w:tcPr>
          <w:p w14:paraId="31A7D329">
            <w:pPr>
              <w:keepNext w:val="0"/>
              <w:keepLines w:val="0"/>
              <w:pageBreakBefore w:val="0"/>
              <w:widowControl w:val="0"/>
              <w:kinsoku/>
              <w:wordWrap/>
              <w:overflowPunct/>
              <w:topLinePunct w:val="0"/>
              <w:autoSpaceDE/>
              <w:bidi w:val="0"/>
              <w:adjustRightInd w:val="0"/>
              <w:snapToGrid w:val="0"/>
              <w:spacing w:line="240" w:lineRule="auto"/>
              <w:textAlignment w:val="auto"/>
              <w:rPr>
                <w:rFonts w:ascii="宋体" w:hAnsi="宋体" w:cs="宋体"/>
                <w:color w:val="auto"/>
                <w:szCs w:val="21"/>
                <w:highlight w:val="none"/>
              </w:rPr>
            </w:pPr>
            <w:r>
              <w:rPr>
                <w:rFonts w:hint="eastAsia" w:ascii="宋体" w:hAnsi="宋体" w:cs="宋体"/>
                <w:color w:val="auto"/>
                <w:szCs w:val="21"/>
                <w:highlight w:val="none"/>
              </w:rPr>
              <w:t>采购项目</w:t>
            </w:r>
          </w:p>
        </w:tc>
        <w:tc>
          <w:tcPr>
            <w:tcW w:w="5898" w:type="dxa"/>
            <w:tcBorders>
              <w:tl2br w:val="nil"/>
              <w:tr2bl w:val="nil"/>
            </w:tcBorders>
            <w:vAlign w:val="center"/>
          </w:tcPr>
          <w:p w14:paraId="2B91E249">
            <w:pPr>
              <w:keepNext w:val="0"/>
              <w:keepLines w:val="0"/>
              <w:pageBreakBefore w:val="0"/>
              <w:widowControl w:val="0"/>
              <w:kinsoku/>
              <w:wordWrap/>
              <w:overflowPunct/>
              <w:topLinePunct w:val="0"/>
              <w:autoSpaceDE/>
              <w:bidi w:val="0"/>
              <w:adjustRightInd w:val="0"/>
              <w:snapToGrid w:val="0"/>
              <w:spacing w:line="240" w:lineRule="auto"/>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株洲北斗应用与信息技术产业示范基地配套基础设施项目（一期）钢结构安装</w:t>
            </w:r>
          </w:p>
        </w:tc>
      </w:tr>
      <w:tr w14:paraId="328B32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97" w:type="dxa"/>
            <w:tcBorders>
              <w:tl2br w:val="nil"/>
              <w:tr2bl w:val="nil"/>
            </w:tcBorders>
            <w:vAlign w:val="center"/>
          </w:tcPr>
          <w:p w14:paraId="648A67F4">
            <w:pPr>
              <w:keepNext w:val="0"/>
              <w:keepLines w:val="0"/>
              <w:pageBreakBefore w:val="0"/>
              <w:widowControl w:val="0"/>
              <w:kinsoku/>
              <w:wordWrap/>
              <w:overflowPunct/>
              <w:topLinePunct w:val="0"/>
              <w:autoSpaceDE/>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第2.1款</w:t>
            </w:r>
          </w:p>
        </w:tc>
        <w:tc>
          <w:tcPr>
            <w:tcW w:w="1725" w:type="dxa"/>
            <w:tcBorders>
              <w:tl2br w:val="nil"/>
              <w:tr2bl w:val="nil"/>
            </w:tcBorders>
            <w:vAlign w:val="center"/>
          </w:tcPr>
          <w:p w14:paraId="6B2B7734">
            <w:pPr>
              <w:keepNext w:val="0"/>
              <w:keepLines w:val="0"/>
              <w:pageBreakBefore w:val="0"/>
              <w:widowControl w:val="0"/>
              <w:kinsoku/>
              <w:wordWrap/>
              <w:overflowPunct/>
              <w:topLinePunct w:val="0"/>
              <w:autoSpaceDE/>
              <w:bidi w:val="0"/>
              <w:adjustRightInd w:val="0"/>
              <w:snapToGrid w:val="0"/>
              <w:spacing w:line="240" w:lineRule="auto"/>
              <w:textAlignment w:val="auto"/>
              <w:rPr>
                <w:rFonts w:ascii="宋体" w:hAnsi="宋体" w:cs="宋体"/>
                <w:color w:val="auto"/>
                <w:szCs w:val="21"/>
                <w:highlight w:val="none"/>
              </w:rPr>
            </w:pPr>
            <w:r>
              <w:rPr>
                <w:rFonts w:hint="eastAsia" w:ascii="宋体" w:hAnsi="宋体" w:cs="宋体"/>
                <w:color w:val="auto"/>
                <w:szCs w:val="21"/>
                <w:highlight w:val="none"/>
              </w:rPr>
              <w:t>采购人</w:t>
            </w:r>
          </w:p>
        </w:tc>
        <w:tc>
          <w:tcPr>
            <w:tcW w:w="5898" w:type="dxa"/>
            <w:tcBorders>
              <w:tl2br w:val="nil"/>
              <w:tr2bl w:val="nil"/>
            </w:tcBorders>
            <w:vAlign w:val="center"/>
          </w:tcPr>
          <w:p w14:paraId="09EE44E8">
            <w:pPr>
              <w:keepNext w:val="0"/>
              <w:keepLines w:val="0"/>
              <w:pageBreakBefore w:val="0"/>
              <w:widowControl w:val="0"/>
              <w:kinsoku/>
              <w:wordWrap/>
              <w:overflowPunct/>
              <w:topLinePunct w:val="0"/>
              <w:autoSpaceDE/>
              <w:bidi w:val="0"/>
              <w:spacing w:line="240"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采 购 人：株洲市云龙发展集团城市建设有限公司</w:t>
            </w:r>
          </w:p>
          <w:p w14:paraId="6BA19270">
            <w:pPr>
              <w:keepNext w:val="0"/>
              <w:keepLines w:val="0"/>
              <w:pageBreakBefore w:val="0"/>
              <w:widowControl w:val="0"/>
              <w:kinsoku/>
              <w:wordWrap/>
              <w:overflowPunct/>
              <w:topLinePunct w:val="0"/>
              <w:autoSpaceDE/>
              <w:bidi w:val="0"/>
              <w:spacing w:line="240"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地    址：株洲云龙示范区云龙大道88号</w:t>
            </w:r>
          </w:p>
          <w:p w14:paraId="72E57420">
            <w:pPr>
              <w:keepNext w:val="0"/>
              <w:keepLines w:val="0"/>
              <w:pageBreakBefore w:val="0"/>
              <w:widowControl w:val="0"/>
              <w:kinsoku/>
              <w:wordWrap/>
              <w:overflowPunct/>
              <w:topLinePunct w:val="0"/>
              <w:autoSpaceDE/>
              <w:bidi w:val="0"/>
              <w:spacing w:line="240" w:lineRule="auto"/>
              <w:textAlignment w:val="auto"/>
              <w:rPr>
                <w:rFonts w:hint="default" w:ascii="宋体" w:hAnsi="宋体" w:eastAsia="宋体"/>
                <w:color w:val="auto"/>
                <w:szCs w:val="22"/>
                <w:highlight w:val="none"/>
                <w:lang w:val="en-US" w:eastAsia="zh-CN"/>
              </w:rPr>
            </w:pPr>
            <w:r>
              <w:rPr>
                <w:rFonts w:hint="eastAsia" w:ascii="宋体" w:hAnsi="宋体"/>
                <w:color w:val="auto"/>
                <w:szCs w:val="22"/>
                <w:highlight w:val="none"/>
              </w:rPr>
              <w:t>联 系 人：</w:t>
            </w:r>
            <w:r>
              <w:rPr>
                <w:rFonts w:hint="eastAsia" w:ascii="宋体" w:hAnsi="宋体"/>
                <w:color w:val="auto"/>
                <w:szCs w:val="22"/>
                <w:highlight w:val="none"/>
                <w:lang w:val="en-US" w:eastAsia="zh-CN"/>
              </w:rPr>
              <w:t xml:space="preserve"> 丑文沛</w:t>
            </w:r>
          </w:p>
          <w:p w14:paraId="521846B1">
            <w:pPr>
              <w:keepNext w:val="0"/>
              <w:keepLines w:val="0"/>
              <w:pageBreakBefore w:val="0"/>
              <w:widowControl w:val="0"/>
              <w:kinsoku/>
              <w:wordWrap/>
              <w:overflowPunct/>
              <w:topLinePunct w:val="0"/>
              <w:autoSpaceDE/>
              <w:bidi w:val="0"/>
              <w:spacing w:line="240" w:lineRule="auto"/>
              <w:textAlignment w:val="auto"/>
              <w:rPr>
                <w:rFonts w:hint="eastAsia" w:ascii="宋体" w:hAnsi="宋体" w:eastAsia="宋体" w:cs="宋体"/>
                <w:color w:val="auto"/>
                <w:szCs w:val="21"/>
                <w:highlight w:val="none"/>
                <w:lang w:eastAsia="zh-CN"/>
              </w:rPr>
            </w:pPr>
            <w:r>
              <w:rPr>
                <w:rFonts w:hint="eastAsia" w:ascii="宋体" w:hAnsi="宋体"/>
                <w:color w:val="auto"/>
                <w:szCs w:val="22"/>
                <w:highlight w:val="none"/>
              </w:rPr>
              <w:t>电    话：</w:t>
            </w:r>
            <w:r>
              <w:rPr>
                <w:rFonts w:hint="eastAsia" w:ascii="宋体" w:hAnsi="宋体"/>
                <w:color w:val="auto"/>
                <w:szCs w:val="22"/>
                <w:highlight w:val="none"/>
                <w:lang w:val="en-US" w:eastAsia="zh-CN"/>
              </w:rPr>
              <w:t xml:space="preserve"> 0731-28689975</w:t>
            </w:r>
            <w:r>
              <w:rPr>
                <w:rFonts w:hint="eastAsia" w:ascii="宋体" w:hAnsi="宋体" w:cs="宋体"/>
                <w:color w:val="auto"/>
                <w:szCs w:val="21"/>
                <w:highlight w:val="none"/>
              </w:rPr>
              <w:t xml:space="preserve"> </w:t>
            </w:r>
          </w:p>
        </w:tc>
      </w:tr>
      <w:tr w14:paraId="54C1EA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97" w:type="dxa"/>
            <w:vMerge w:val="restart"/>
            <w:tcBorders>
              <w:tl2br w:val="nil"/>
              <w:tr2bl w:val="nil"/>
            </w:tcBorders>
            <w:vAlign w:val="center"/>
          </w:tcPr>
          <w:p w14:paraId="37DE7CEA">
            <w:pPr>
              <w:keepNext w:val="0"/>
              <w:keepLines w:val="0"/>
              <w:pageBreakBefore w:val="0"/>
              <w:widowControl w:val="0"/>
              <w:kinsoku/>
              <w:wordWrap/>
              <w:overflowPunct/>
              <w:topLinePunct w:val="0"/>
              <w:autoSpaceDE/>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第2.3款</w:t>
            </w:r>
          </w:p>
        </w:tc>
        <w:tc>
          <w:tcPr>
            <w:tcW w:w="1725" w:type="dxa"/>
            <w:tcBorders>
              <w:tl2br w:val="nil"/>
              <w:tr2bl w:val="nil"/>
            </w:tcBorders>
            <w:vAlign w:val="bottom"/>
          </w:tcPr>
          <w:p w14:paraId="06F67C15">
            <w:pPr>
              <w:keepNext w:val="0"/>
              <w:keepLines w:val="0"/>
              <w:pageBreakBefore w:val="0"/>
              <w:widowControl w:val="0"/>
              <w:kinsoku/>
              <w:wordWrap/>
              <w:overflowPunct/>
              <w:topLinePunct w:val="0"/>
              <w:autoSpaceDE/>
              <w:bidi w:val="0"/>
              <w:adjustRightInd w:val="0"/>
              <w:snapToGrid w:val="0"/>
              <w:spacing w:line="240" w:lineRule="auto"/>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rPr>
              <w:t>供应商的邀请方式</w:t>
            </w:r>
          </w:p>
        </w:tc>
        <w:tc>
          <w:tcPr>
            <w:tcW w:w="5898" w:type="dxa"/>
            <w:tcBorders>
              <w:tl2br w:val="nil"/>
              <w:tr2bl w:val="nil"/>
            </w:tcBorders>
            <w:vAlign w:val="center"/>
          </w:tcPr>
          <w:p w14:paraId="2B5C8D1B">
            <w:pPr>
              <w:keepNext w:val="0"/>
              <w:keepLines w:val="0"/>
              <w:pageBreakBefore w:val="0"/>
              <w:widowControl w:val="0"/>
              <w:kinsoku/>
              <w:wordWrap/>
              <w:overflowPunct/>
              <w:topLinePunct w:val="0"/>
              <w:autoSpaceDE/>
              <w:bidi w:val="0"/>
              <w:adjustRightInd w:val="0"/>
              <w:snapToGrid w:val="0"/>
              <w:spacing w:line="240" w:lineRule="auto"/>
              <w:jc w:val="both"/>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公告邀请</w:t>
            </w:r>
          </w:p>
        </w:tc>
      </w:tr>
      <w:tr w14:paraId="399688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97" w:type="dxa"/>
            <w:vMerge w:val="continue"/>
            <w:tcBorders>
              <w:tl2br w:val="nil"/>
              <w:tr2bl w:val="nil"/>
            </w:tcBorders>
            <w:vAlign w:val="center"/>
          </w:tcPr>
          <w:p w14:paraId="027D45EB">
            <w:pPr>
              <w:keepNext w:val="0"/>
              <w:keepLines w:val="0"/>
              <w:pageBreakBefore w:val="0"/>
              <w:widowControl w:val="0"/>
              <w:kinsoku/>
              <w:wordWrap/>
              <w:overflowPunct/>
              <w:topLinePunct w:val="0"/>
              <w:autoSpaceDE/>
              <w:bidi w:val="0"/>
              <w:adjustRightInd w:val="0"/>
              <w:snapToGrid w:val="0"/>
              <w:spacing w:line="240" w:lineRule="auto"/>
              <w:jc w:val="center"/>
              <w:textAlignment w:val="auto"/>
              <w:rPr>
                <w:rFonts w:ascii="宋体" w:hAnsi="宋体"/>
                <w:color w:val="auto"/>
                <w:szCs w:val="21"/>
                <w:highlight w:val="none"/>
              </w:rPr>
            </w:pPr>
          </w:p>
        </w:tc>
        <w:tc>
          <w:tcPr>
            <w:tcW w:w="1725" w:type="dxa"/>
            <w:tcBorders>
              <w:tl2br w:val="nil"/>
              <w:tr2bl w:val="nil"/>
            </w:tcBorders>
            <w:vAlign w:val="center"/>
          </w:tcPr>
          <w:p w14:paraId="2A4A5462">
            <w:pPr>
              <w:keepNext w:val="0"/>
              <w:keepLines w:val="0"/>
              <w:pageBreakBefore w:val="0"/>
              <w:widowControl w:val="0"/>
              <w:kinsoku/>
              <w:wordWrap/>
              <w:overflowPunct/>
              <w:topLinePunct w:val="0"/>
              <w:autoSpaceDE/>
              <w:bidi w:val="0"/>
              <w:adjustRightInd w:val="0"/>
              <w:snapToGrid w:val="0"/>
              <w:spacing w:line="240"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购买采购文件时应提供的资料</w:t>
            </w:r>
          </w:p>
        </w:tc>
        <w:tc>
          <w:tcPr>
            <w:tcW w:w="5898" w:type="dxa"/>
            <w:tcBorders>
              <w:tl2br w:val="nil"/>
              <w:tr2bl w:val="nil"/>
            </w:tcBorders>
            <w:vAlign w:val="center"/>
          </w:tcPr>
          <w:p w14:paraId="106BCFA1">
            <w:pPr>
              <w:keepNext w:val="0"/>
              <w:keepLines w:val="0"/>
              <w:pageBreakBefore w:val="0"/>
              <w:widowControl w:val="0"/>
              <w:kinsoku/>
              <w:wordWrap/>
              <w:overflowPunct/>
              <w:topLinePunct w:val="0"/>
              <w:autoSpaceDE/>
              <w:bidi w:val="0"/>
              <w:adjustRightInd w:val="0"/>
              <w:snapToGrid w:val="0"/>
              <w:spacing w:line="240" w:lineRule="auto"/>
              <w:textAlignment w:val="auto"/>
              <w:rPr>
                <w:rFonts w:ascii="宋体" w:hAnsi="宋体" w:cs="宋体"/>
                <w:color w:val="auto"/>
                <w:szCs w:val="21"/>
                <w:highlight w:val="none"/>
              </w:rPr>
            </w:pPr>
            <w:r>
              <w:rPr>
                <w:rFonts w:hint="eastAsia" w:ascii="宋体" w:hAnsi="宋体" w:cs="宋体"/>
                <w:color w:val="auto"/>
                <w:szCs w:val="21"/>
                <w:highlight w:val="none"/>
              </w:rPr>
              <w:t>本人身份证原件、供应商法定代表人身份证明（法定代表人购买）或供应商法人授权书（购买）、供应商营业执照副本复印件并加盖供应商单位公章。</w:t>
            </w:r>
          </w:p>
        </w:tc>
      </w:tr>
      <w:tr w14:paraId="0ACAF8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97" w:type="dxa"/>
            <w:tcBorders>
              <w:tl2br w:val="nil"/>
              <w:tr2bl w:val="nil"/>
            </w:tcBorders>
            <w:vAlign w:val="center"/>
          </w:tcPr>
          <w:p w14:paraId="2B891FDC">
            <w:pPr>
              <w:keepNext w:val="0"/>
              <w:keepLines w:val="0"/>
              <w:pageBreakBefore w:val="0"/>
              <w:widowControl w:val="0"/>
              <w:kinsoku/>
              <w:wordWrap/>
              <w:overflowPunct/>
              <w:topLinePunct w:val="0"/>
              <w:autoSpaceDE/>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第3.1款</w:t>
            </w:r>
          </w:p>
        </w:tc>
        <w:tc>
          <w:tcPr>
            <w:tcW w:w="1725" w:type="dxa"/>
            <w:tcBorders>
              <w:tl2br w:val="nil"/>
              <w:tr2bl w:val="nil"/>
            </w:tcBorders>
            <w:vAlign w:val="center"/>
          </w:tcPr>
          <w:p w14:paraId="34FE21C7">
            <w:pPr>
              <w:keepNext w:val="0"/>
              <w:keepLines w:val="0"/>
              <w:pageBreakBefore w:val="0"/>
              <w:widowControl w:val="0"/>
              <w:kinsoku/>
              <w:wordWrap/>
              <w:overflowPunct/>
              <w:topLinePunct w:val="0"/>
              <w:autoSpaceDE/>
              <w:bidi w:val="0"/>
              <w:adjustRightInd w:val="0"/>
              <w:snapToGrid w:val="0"/>
              <w:spacing w:line="240" w:lineRule="auto"/>
              <w:textAlignment w:val="auto"/>
              <w:rPr>
                <w:rFonts w:ascii="宋体" w:hAnsi="宋体"/>
                <w:color w:val="auto"/>
                <w:szCs w:val="21"/>
                <w:highlight w:val="none"/>
              </w:rPr>
            </w:pPr>
            <w:r>
              <w:rPr>
                <w:rFonts w:hint="eastAsia" w:ascii="宋体" w:hAnsi="宋体"/>
                <w:color w:val="auto"/>
                <w:szCs w:val="21"/>
                <w:highlight w:val="none"/>
              </w:rPr>
              <w:t>供应商资格条件</w:t>
            </w:r>
          </w:p>
        </w:tc>
        <w:tc>
          <w:tcPr>
            <w:tcW w:w="5898" w:type="dxa"/>
            <w:tcBorders>
              <w:tl2br w:val="nil"/>
              <w:tr2bl w:val="nil"/>
            </w:tcBorders>
            <w:vAlign w:val="center"/>
          </w:tcPr>
          <w:p w14:paraId="5F5F0593">
            <w:pPr>
              <w:keepNext w:val="0"/>
              <w:keepLines w:val="0"/>
              <w:pageBreakBefore w:val="0"/>
              <w:widowControl w:val="0"/>
              <w:kinsoku/>
              <w:wordWrap/>
              <w:overflowPunct/>
              <w:topLinePunct w:val="0"/>
              <w:autoSpaceDE/>
              <w:bidi w:val="0"/>
              <w:adjustRightInd w:val="0"/>
              <w:snapToGrid w:val="0"/>
              <w:spacing w:line="240"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（1）具有</w:t>
            </w:r>
            <w:r>
              <w:rPr>
                <w:rFonts w:hint="eastAsia" w:ascii="宋体" w:hAnsi="宋体" w:cs="宋体"/>
                <w:color w:val="auto"/>
                <w:szCs w:val="21"/>
                <w:highlight w:val="none"/>
                <w:lang w:eastAsia="zh-CN"/>
              </w:rPr>
              <w:t>独立承担民事责任的能力</w:t>
            </w:r>
            <w:r>
              <w:rPr>
                <w:rFonts w:hint="eastAsia" w:ascii="宋体" w:hAnsi="宋体" w:cs="宋体"/>
                <w:color w:val="auto"/>
                <w:szCs w:val="21"/>
                <w:highlight w:val="none"/>
              </w:rPr>
              <w:t>，</w:t>
            </w:r>
            <w:r>
              <w:rPr>
                <w:rFonts w:hint="eastAsia" w:ascii="宋体" w:hAnsi="宋体" w:cs="宋体"/>
                <w:color w:val="auto"/>
                <w:szCs w:val="21"/>
                <w:highlight w:val="none"/>
                <w:lang w:eastAsia="zh-CN"/>
              </w:rPr>
              <w:t>并</w:t>
            </w:r>
            <w:r>
              <w:rPr>
                <w:rFonts w:hint="eastAsia" w:ascii="宋体" w:hAnsi="宋体" w:cs="宋体"/>
                <w:color w:val="auto"/>
                <w:szCs w:val="21"/>
                <w:highlight w:val="none"/>
              </w:rPr>
              <w:t xml:space="preserve">依法取得有效的营业执照； </w:t>
            </w:r>
          </w:p>
          <w:p w14:paraId="5AFFDEB1">
            <w:pPr>
              <w:keepNext w:val="0"/>
              <w:keepLines w:val="0"/>
              <w:pageBreakBefore w:val="0"/>
              <w:widowControl w:val="0"/>
              <w:kinsoku/>
              <w:wordWrap/>
              <w:overflowPunct/>
              <w:topLinePunct w:val="0"/>
              <w:autoSpaceDE/>
              <w:bidi w:val="0"/>
              <w:adjustRightInd w:val="0"/>
              <w:snapToGrid w:val="0"/>
              <w:spacing w:line="240"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（2）具有履行合同所必需的设备和专业技术能力；</w:t>
            </w:r>
          </w:p>
          <w:p w14:paraId="22C76903">
            <w:pPr>
              <w:keepNext w:val="0"/>
              <w:keepLines w:val="0"/>
              <w:pageBreakBefore w:val="0"/>
              <w:widowControl w:val="0"/>
              <w:kinsoku/>
              <w:wordWrap/>
              <w:overflowPunct/>
              <w:topLinePunct w:val="0"/>
              <w:autoSpaceDE/>
              <w:autoSpaceDN w:val="0"/>
              <w:bidi w:val="0"/>
              <w:spacing w:line="240" w:lineRule="auto"/>
              <w:jc w:val="left"/>
              <w:textAlignment w:val="auto"/>
              <w:rPr>
                <w:rFonts w:hint="eastAsia" w:ascii="宋体" w:hAnsi="宋体" w:eastAsia="宋体"/>
                <w:color w:val="auto"/>
                <w:kern w:val="0"/>
                <w:szCs w:val="21"/>
                <w:highlight w:val="none"/>
              </w:rPr>
            </w:pPr>
            <w:r>
              <w:rPr>
                <w:rFonts w:hint="eastAsia" w:ascii="宋体" w:hAnsi="宋体" w:cs="宋体"/>
                <w:color w:val="auto"/>
                <w:szCs w:val="21"/>
                <w:highlight w:val="none"/>
              </w:rPr>
              <w:t>（3）</w:t>
            </w:r>
            <w:r>
              <w:rPr>
                <w:rFonts w:hint="eastAsia" w:ascii="宋体" w:hAnsi="宋体" w:eastAsia="宋体"/>
                <w:color w:val="auto"/>
                <w:kern w:val="0"/>
                <w:szCs w:val="21"/>
                <w:highlight w:val="none"/>
              </w:rPr>
              <w:t>具备建设行政</w:t>
            </w:r>
            <w:r>
              <w:rPr>
                <w:rFonts w:hint="eastAsia" w:ascii="宋体" w:hAnsi="宋体" w:cs="Times New Roman"/>
                <w:color w:val="auto"/>
                <w:kern w:val="0"/>
                <w:szCs w:val="21"/>
                <w:highlight w:val="none"/>
                <w:lang w:val="en-US" w:eastAsia="zh-CN"/>
              </w:rPr>
              <w:t>主管部门颁发的钢结构工程专业承包资质三级及以上，安全生产</w:t>
            </w:r>
            <w:r>
              <w:rPr>
                <w:rFonts w:hint="eastAsia" w:ascii="宋体" w:hAnsi="宋体" w:eastAsia="宋体"/>
                <w:color w:val="auto"/>
                <w:kern w:val="0"/>
                <w:szCs w:val="21"/>
                <w:highlight w:val="none"/>
              </w:rPr>
              <w:t>许可证处于有效期；</w:t>
            </w:r>
          </w:p>
          <w:p w14:paraId="583C9F81">
            <w:pPr>
              <w:keepNext w:val="0"/>
              <w:keepLines w:val="0"/>
              <w:pageBreakBefore w:val="0"/>
              <w:widowControl w:val="0"/>
              <w:kinsoku/>
              <w:wordWrap/>
              <w:overflowPunct/>
              <w:topLinePunct w:val="0"/>
              <w:autoSpaceDE/>
              <w:autoSpaceDN w:val="0"/>
              <w:bidi w:val="0"/>
              <w:spacing w:line="240" w:lineRule="auto"/>
              <w:jc w:val="left"/>
              <w:textAlignment w:val="auto"/>
              <w:rPr>
                <w:rFonts w:hint="eastAsia" w:ascii="宋体" w:hAnsi="宋体" w:eastAsia="宋体"/>
                <w:color w:val="auto"/>
                <w:kern w:val="0"/>
                <w:szCs w:val="21"/>
                <w:highlight w:val="none"/>
                <w:lang w:eastAsia="zh-CN"/>
              </w:rPr>
            </w:pPr>
            <w:r>
              <w:rPr>
                <w:rFonts w:hint="eastAsia" w:ascii="宋体" w:hAnsi="宋体" w:eastAsia="宋体"/>
                <w:color w:val="auto"/>
                <w:kern w:val="0"/>
                <w:szCs w:val="21"/>
                <w:highlight w:val="none"/>
                <w:lang w:eastAsia="zh-CN"/>
              </w:rPr>
              <w:t>（</w:t>
            </w:r>
            <w:r>
              <w:rPr>
                <w:rFonts w:hint="eastAsia" w:ascii="宋体" w:hAnsi="宋体" w:eastAsia="宋体"/>
                <w:color w:val="auto"/>
                <w:kern w:val="0"/>
                <w:szCs w:val="21"/>
                <w:highlight w:val="none"/>
                <w:lang w:val="en-US" w:eastAsia="zh-CN"/>
              </w:rPr>
              <w:t>4）</w:t>
            </w:r>
            <w:r>
              <w:rPr>
                <w:rFonts w:hint="eastAsia" w:ascii="宋体" w:hAnsi="宋体" w:eastAsia="宋体"/>
                <w:color w:val="auto"/>
                <w:kern w:val="0"/>
                <w:szCs w:val="21"/>
                <w:highlight w:val="none"/>
              </w:rPr>
              <w:t>单位负责人为同一人或者存在直接控股、管理关系的不同</w:t>
            </w:r>
            <w:r>
              <w:rPr>
                <w:rFonts w:hint="eastAsia" w:ascii="宋体" w:hAnsi="宋体"/>
                <w:color w:val="auto"/>
                <w:kern w:val="0"/>
                <w:szCs w:val="21"/>
                <w:highlight w:val="none"/>
                <w:lang w:eastAsia="zh-CN"/>
              </w:rPr>
              <w:t>供应商</w:t>
            </w:r>
            <w:r>
              <w:rPr>
                <w:rFonts w:hint="eastAsia" w:ascii="宋体" w:hAnsi="宋体" w:eastAsia="宋体"/>
                <w:color w:val="auto"/>
                <w:kern w:val="0"/>
                <w:szCs w:val="21"/>
                <w:highlight w:val="none"/>
              </w:rPr>
              <w:t>，不得参加同一合同项下的采购活动</w:t>
            </w:r>
            <w:r>
              <w:rPr>
                <w:rFonts w:hint="eastAsia" w:ascii="宋体" w:hAnsi="宋体" w:eastAsia="宋体"/>
                <w:color w:val="auto"/>
                <w:kern w:val="0"/>
                <w:szCs w:val="21"/>
                <w:highlight w:val="none"/>
                <w:lang w:eastAsia="zh-CN"/>
              </w:rPr>
              <w:t>；</w:t>
            </w:r>
          </w:p>
          <w:p w14:paraId="570B860D">
            <w:pPr>
              <w:keepNext w:val="0"/>
              <w:keepLines w:val="0"/>
              <w:pageBreakBefore w:val="0"/>
              <w:widowControl w:val="0"/>
              <w:kinsoku/>
              <w:wordWrap/>
              <w:overflowPunct/>
              <w:topLinePunct w:val="0"/>
              <w:autoSpaceDE/>
              <w:autoSpaceDN w:val="0"/>
              <w:bidi w:val="0"/>
              <w:spacing w:line="240" w:lineRule="auto"/>
              <w:jc w:val="left"/>
              <w:textAlignment w:val="auto"/>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对列入失信被执行人、重大税收违法案件当事人名单的供应商，将被拒绝其参与本采购活动，需提供“信用中国”网站查询截图。</w:t>
            </w:r>
          </w:p>
        </w:tc>
      </w:tr>
      <w:tr w14:paraId="690477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97" w:type="dxa"/>
            <w:tcBorders>
              <w:tl2br w:val="nil"/>
              <w:tr2bl w:val="nil"/>
            </w:tcBorders>
            <w:vAlign w:val="center"/>
          </w:tcPr>
          <w:p w14:paraId="61F1EB6A">
            <w:pPr>
              <w:keepNext w:val="0"/>
              <w:keepLines w:val="0"/>
              <w:pageBreakBefore w:val="0"/>
              <w:widowControl w:val="0"/>
              <w:kinsoku/>
              <w:wordWrap/>
              <w:overflowPunct/>
              <w:topLinePunct w:val="0"/>
              <w:autoSpaceDE/>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第6.1款</w:t>
            </w:r>
          </w:p>
        </w:tc>
        <w:tc>
          <w:tcPr>
            <w:tcW w:w="1725" w:type="dxa"/>
            <w:tcBorders>
              <w:tl2br w:val="nil"/>
              <w:tr2bl w:val="nil"/>
            </w:tcBorders>
            <w:vAlign w:val="center"/>
          </w:tcPr>
          <w:p w14:paraId="1D5D5353">
            <w:pPr>
              <w:keepNext w:val="0"/>
              <w:keepLines w:val="0"/>
              <w:pageBreakBefore w:val="0"/>
              <w:widowControl w:val="0"/>
              <w:kinsoku/>
              <w:wordWrap/>
              <w:overflowPunct/>
              <w:topLinePunct w:val="0"/>
              <w:autoSpaceDE/>
              <w:bidi w:val="0"/>
              <w:adjustRightInd w:val="0"/>
              <w:snapToGrid w:val="0"/>
              <w:spacing w:line="240" w:lineRule="auto"/>
              <w:textAlignment w:val="auto"/>
              <w:rPr>
                <w:rFonts w:ascii="宋体" w:hAnsi="宋体" w:cs="宋体"/>
                <w:color w:val="auto"/>
                <w:szCs w:val="21"/>
                <w:highlight w:val="none"/>
              </w:rPr>
            </w:pPr>
            <w:r>
              <w:rPr>
                <w:rFonts w:hint="eastAsia" w:ascii="宋体" w:hAnsi="宋体" w:cs="宋体"/>
                <w:color w:val="auto"/>
                <w:szCs w:val="21"/>
                <w:highlight w:val="none"/>
              </w:rPr>
              <w:t>联合体形式</w:t>
            </w:r>
          </w:p>
        </w:tc>
        <w:tc>
          <w:tcPr>
            <w:tcW w:w="5898" w:type="dxa"/>
            <w:tcBorders>
              <w:tl2br w:val="nil"/>
              <w:tr2bl w:val="nil"/>
            </w:tcBorders>
            <w:vAlign w:val="center"/>
          </w:tcPr>
          <w:p w14:paraId="7370CCE9">
            <w:pPr>
              <w:keepNext w:val="0"/>
              <w:keepLines w:val="0"/>
              <w:pageBreakBefore w:val="0"/>
              <w:widowControl w:val="0"/>
              <w:kinsoku/>
              <w:wordWrap/>
              <w:overflowPunct/>
              <w:topLinePunct w:val="0"/>
              <w:autoSpaceDE/>
              <w:bidi w:val="0"/>
              <w:adjustRightInd w:val="0"/>
              <w:snapToGrid w:val="0"/>
              <w:spacing w:line="240" w:lineRule="auto"/>
              <w:textAlignment w:val="auto"/>
              <w:rPr>
                <w:rFonts w:ascii="宋体" w:hAnsi="宋体" w:cs="宋体"/>
                <w:color w:val="auto"/>
                <w:szCs w:val="21"/>
                <w:highlight w:val="none"/>
              </w:rPr>
            </w:pPr>
            <w:r>
              <w:rPr>
                <w:rFonts w:hint="eastAsia" w:ascii="宋体" w:hAnsi="宋体" w:cs="宋体"/>
                <w:color w:val="auto"/>
                <w:szCs w:val="21"/>
                <w:highlight w:val="none"/>
              </w:rPr>
              <w:t>不接受</w:t>
            </w:r>
          </w:p>
        </w:tc>
      </w:tr>
      <w:tr w14:paraId="57F05C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97" w:type="dxa"/>
            <w:tcBorders>
              <w:tl2br w:val="nil"/>
              <w:tr2bl w:val="nil"/>
            </w:tcBorders>
            <w:vAlign w:val="center"/>
          </w:tcPr>
          <w:p w14:paraId="6296FA5B">
            <w:pPr>
              <w:keepNext w:val="0"/>
              <w:keepLines w:val="0"/>
              <w:pageBreakBefore w:val="0"/>
              <w:widowControl w:val="0"/>
              <w:kinsoku/>
              <w:wordWrap/>
              <w:overflowPunct/>
              <w:topLinePunct w:val="0"/>
              <w:autoSpaceDE/>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第6.2（3）款</w:t>
            </w:r>
          </w:p>
        </w:tc>
        <w:tc>
          <w:tcPr>
            <w:tcW w:w="1725" w:type="dxa"/>
            <w:tcBorders>
              <w:tl2br w:val="nil"/>
              <w:tr2bl w:val="nil"/>
            </w:tcBorders>
            <w:vAlign w:val="center"/>
          </w:tcPr>
          <w:p w14:paraId="64A618AE">
            <w:pPr>
              <w:keepNext w:val="0"/>
              <w:keepLines w:val="0"/>
              <w:pageBreakBefore w:val="0"/>
              <w:widowControl w:val="0"/>
              <w:kinsoku/>
              <w:wordWrap/>
              <w:overflowPunct/>
              <w:topLinePunct w:val="0"/>
              <w:autoSpaceDE/>
              <w:bidi w:val="0"/>
              <w:adjustRightInd w:val="0"/>
              <w:snapToGrid w:val="0"/>
              <w:spacing w:line="240" w:lineRule="auto"/>
              <w:textAlignment w:val="auto"/>
              <w:rPr>
                <w:rFonts w:ascii="宋体" w:hAnsi="宋体" w:cs="宋体"/>
                <w:color w:val="auto"/>
                <w:szCs w:val="21"/>
                <w:highlight w:val="none"/>
              </w:rPr>
            </w:pPr>
            <w:r>
              <w:rPr>
                <w:rFonts w:hint="eastAsia" w:ascii="宋体" w:hAnsi="宋体" w:cs="宋体"/>
                <w:color w:val="auto"/>
                <w:szCs w:val="21"/>
                <w:highlight w:val="none"/>
              </w:rPr>
              <w:t>对联合体各方的要求</w:t>
            </w:r>
          </w:p>
        </w:tc>
        <w:tc>
          <w:tcPr>
            <w:tcW w:w="5898" w:type="dxa"/>
            <w:tcBorders>
              <w:tl2br w:val="nil"/>
              <w:tr2bl w:val="nil"/>
            </w:tcBorders>
            <w:vAlign w:val="center"/>
          </w:tcPr>
          <w:p w14:paraId="7B45DBAE">
            <w:pPr>
              <w:keepNext w:val="0"/>
              <w:keepLines w:val="0"/>
              <w:pageBreakBefore w:val="0"/>
              <w:widowControl w:val="0"/>
              <w:kinsoku/>
              <w:wordWrap/>
              <w:overflowPunct/>
              <w:topLinePunct w:val="0"/>
              <w:autoSpaceDE/>
              <w:bidi w:val="0"/>
              <w:adjustRightInd w:val="0"/>
              <w:snapToGrid w:val="0"/>
              <w:spacing w:line="240" w:lineRule="auto"/>
              <w:textAlignment w:val="auto"/>
              <w:rPr>
                <w:rFonts w:ascii="宋体" w:hAnsi="宋体" w:cs="宋体"/>
                <w:color w:val="auto"/>
                <w:szCs w:val="21"/>
                <w:highlight w:val="none"/>
              </w:rPr>
            </w:pPr>
            <w:r>
              <w:rPr>
                <w:rFonts w:hint="eastAsia" w:ascii="宋体" w:hAnsi="宋体" w:cs="宋体"/>
                <w:color w:val="auto"/>
                <w:szCs w:val="21"/>
                <w:highlight w:val="none"/>
              </w:rPr>
              <w:t>/</w:t>
            </w:r>
          </w:p>
        </w:tc>
      </w:tr>
      <w:tr w14:paraId="5AA86D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97" w:type="dxa"/>
            <w:tcBorders>
              <w:tl2br w:val="nil"/>
              <w:tr2bl w:val="nil"/>
            </w:tcBorders>
            <w:vAlign w:val="center"/>
          </w:tcPr>
          <w:p w14:paraId="2674A925">
            <w:pPr>
              <w:keepNext w:val="0"/>
              <w:keepLines w:val="0"/>
              <w:pageBreakBefore w:val="0"/>
              <w:widowControl w:val="0"/>
              <w:kinsoku/>
              <w:wordWrap/>
              <w:overflowPunct/>
              <w:topLinePunct w:val="0"/>
              <w:autoSpaceDE/>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第7.1款</w:t>
            </w:r>
          </w:p>
        </w:tc>
        <w:tc>
          <w:tcPr>
            <w:tcW w:w="1725" w:type="dxa"/>
            <w:tcBorders>
              <w:tl2br w:val="nil"/>
              <w:tr2bl w:val="nil"/>
            </w:tcBorders>
            <w:vAlign w:val="center"/>
          </w:tcPr>
          <w:p w14:paraId="426E29D9">
            <w:pPr>
              <w:keepNext w:val="0"/>
              <w:keepLines w:val="0"/>
              <w:pageBreakBefore w:val="0"/>
              <w:widowControl w:val="0"/>
              <w:kinsoku/>
              <w:wordWrap/>
              <w:overflowPunct/>
              <w:topLinePunct w:val="0"/>
              <w:autoSpaceDE/>
              <w:bidi w:val="0"/>
              <w:adjustRightInd w:val="0"/>
              <w:snapToGrid w:val="0"/>
              <w:spacing w:line="240" w:lineRule="auto"/>
              <w:textAlignment w:val="auto"/>
              <w:rPr>
                <w:rFonts w:ascii="宋体" w:hAnsi="宋体" w:cs="宋体"/>
                <w:color w:val="auto"/>
                <w:szCs w:val="21"/>
                <w:highlight w:val="none"/>
              </w:rPr>
            </w:pPr>
            <w:r>
              <w:rPr>
                <w:rFonts w:hint="eastAsia" w:ascii="宋体" w:hAnsi="宋体" w:cs="宋体"/>
                <w:color w:val="auto"/>
                <w:szCs w:val="21"/>
                <w:highlight w:val="none"/>
              </w:rPr>
              <w:t>现场勘察</w:t>
            </w:r>
          </w:p>
        </w:tc>
        <w:tc>
          <w:tcPr>
            <w:tcW w:w="5898" w:type="dxa"/>
            <w:tcBorders>
              <w:tl2br w:val="nil"/>
              <w:tr2bl w:val="nil"/>
            </w:tcBorders>
            <w:vAlign w:val="center"/>
          </w:tcPr>
          <w:p w14:paraId="69DD4DD8">
            <w:pPr>
              <w:keepNext w:val="0"/>
              <w:keepLines w:val="0"/>
              <w:pageBreakBefore w:val="0"/>
              <w:widowControl w:val="0"/>
              <w:kinsoku/>
              <w:wordWrap/>
              <w:overflowPunct/>
              <w:topLinePunct w:val="0"/>
              <w:autoSpaceDE/>
              <w:bidi w:val="0"/>
              <w:adjustRightInd w:val="0"/>
              <w:snapToGrid w:val="0"/>
              <w:spacing w:line="240" w:lineRule="auto"/>
              <w:textAlignment w:val="auto"/>
              <w:rPr>
                <w:rFonts w:ascii="宋体" w:hAnsi="宋体" w:cs="宋体"/>
                <w:color w:val="auto"/>
                <w:szCs w:val="21"/>
                <w:highlight w:val="none"/>
              </w:rPr>
            </w:pPr>
            <w:r>
              <w:rPr>
                <w:rFonts w:hint="eastAsia" w:ascii="宋体" w:hAnsi="宋体" w:cs="宋体"/>
                <w:color w:val="auto"/>
                <w:szCs w:val="21"/>
                <w:highlight w:val="none"/>
              </w:rPr>
              <w:t>不组织，请各供应商自行踏勘现场，成交后成交供应商以不了解现场情况为由向采购人提出的任何索赔，采购人将均不予受理。</w:t>
            </w:r>
          </w:p>
        </w:tc>
      </w:tr>
      <w:tr w14:paraId="359CF6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0" w:type="dxa"/>
            <w:gridSpan w:val="3"/>
            <w:tcBorders>
              <w:tl2br w:val="nil"/>
              <w:tr2bl w:val="nil"/>
            </w:tcBorders>
            <w:vAlign w:val="center"/>
          </w:tcPr>
          <w:p w14:paraId="363CC5A0">
            <w:pPr>
              <w:keepNext w:val="0"/>
              <w:keepLines w:val="0"/>
              <w:pageBreakBefore w:val="0"/>
              <w:widowControl w:val="0"/>
              <w:kinsoku/>
              <w:wordWrap/>
              <w:overflowPunct/>
              <w:topLinePunct w:val="0"/>
              <w:autoSpaceDE/>
              <w:bidi w:val="0"/>
              <w:adjustRightInd w:val="0"/>
              <w:snapToGrid w:val="0"/>
              <w:spacing w:line="240" w:lineRule="auto"/>
              <w:textAlignment w:val="auto"/>
              <w:rPr>
                <w:rFonts w:ascii="宋体" w:hAnsi="宋体"/>
                <w:b/>
                <w:color w:val="auto"/>
                <w:szCs w:val="21"/>
                <w:highlight w:val="none"/>
              </w:rPr>
            </w:pPr>
            <w:r>
              <w:rPr>
                <w:rFonts w:hint="eastAsia" w:ascii="宋体" w:hAnsi="宋体"/>
                <w:b/>
                <w:color w:val="auto"/>
                <w:szCs w:val="21"/>
                <w:highlight w:val="none"/>
              </w:rPr>
              <w:t>二、采购文件</w:t>
            </w:r>
          </w:p>
        </w:tc>
      </w:tr>
      <w:tr w14:paraId="4F9318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97" w:type="dxa"/>
            <w:tcBorders>
              <w:tl2br w:val="nil"/>
              <w:tr2bl w:val="nil"/>
            </w:tcBorders>
            <w:vAlign w:val="center"/>
          </w:tcPr>
          <w:p w14:paraId="0441B71C">
            <w:pPr>
              <w:keepNext w:val="0"/>
              <w:keepLines w:val="0"/>
              <w:pageBreakBefore w:val="0"/>
              <w:widowControl w:val="0"/>
              <w:kinsoku/>
              <w:wordWrap/>
              <w:overflowPunct/>
              <w:topLinePunct w:val="0"/>
              <w:autoSpaceDE/>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第9.1款</w:t>
            </w:r>
          </w:p>
        </w:tc>
        <w:tc>
          <w:tcPr>
            <w:tcW w:w="1725" w:type="dxa"/>
            <w:tcBorders>
              <w:tl2br w:val="nil"/>
              <w:tr2bl w:val="nil"/>
            </w:tcBorders>
            <w:vAlign w:val="center"/>
          </w:tcPr>
          <w:p w14:paraId="499ADA0A">
            <w:pPr>
              <w:keepNext w:val="0"/>
              <w:keepLines w:val="0"/>
              <w:pageBreakBefore w:val="0"/>
              <w:widowControl w:val="0"/>
              <w:kinsoku/>
              <w:wordWrap/>
              <w:overflowPunct/>
              <w:topLinePunct w:val="0"/>
              <w:autoSpaceDE/>
              <w:bidi w:val="0"/>
              <w:adjustRightInd w:val="0"/>
              <w:snapToGrid w:val="0"/>
              <w:spacing w:line="240" w:lineRule="auto"/>
              <w:textAlignment w:val="auto"/>
              <w:rPr>
                <w:rFonts w:ascii="宋体" w:hAnsi="宋体" w:cs="宋体"/>
                <w:color w:val="auto"/>
                <w:szCs w:val="21"/>
                <w:highlight w:val="none"/>
              </w:rPr>
            </w:pPr>
            <w:r>
              <w:rPr>
                <w:rFonts w:hint="eastAsia" w:ascii="宋体" w:hAnsi="宋体" w:cs="宋体"/>
                <w:color w:val="auto"/>
                <w:szCs w:val="21"/>
                <w:highlight w:val="none"/>
              </w:rPr>
              <w:t>提交响应文件的截止时间</w:t>
            </w:r>
          </w:p>
        </w:tc>
        <w:tc>
          <w:tcPr>
            <w:tcW w:w="5898" w:type="dxa"/>
            <w:tcBorders>
              <w:tl2br w:val="nil"/>
              <w:tr2bl w:val="nil"/>
            </w:tcBorders>
            <w:vAlign w:val="center"/>
          </w:tcPr>
          <w:p w14:paraId="0B89E1E5">
            <w:pPr>
              <w:keepNext w:val="0"/>
              <w:keepLines w:val="0"/>
              <w:pageBreakBefore w:val="0"/>
              <w:widowControl w:val="0"/>
              <w:kinsoku/>
              <w:wordWrap/>
              <w:overflowPunct/>
              <w:topLinePunct w:val="0"/>
              <w:autoSpaceDE/>
              <w:bidi w:val="0"/>
              <w:adjustRightInd w:val="0"/>
              <w:snapToGrid w:val="0"/>
              <w:spacing w:line="240" w:lineRule="auto"/>
              <w:textAlignment w:val="auto"/>
              <w:rPr>
                <w:rFonts w:ascii="宋体" w:hAnsi="宋体" w:cs="宋体"/>
                <w:color w:val="auto"/>
                <w:szCs w:val="21"/>
                <w:highlight w:val="none"/>
              </w:rPr>
            </w:pPr>
            <w:r>
              <w:rPr>
                <w:rFonts w:hint="eastAsia" w:ascii="宋体" w:hAnsi="宋体" w:cs="宋体"/>
                <w:color w:val="auto"/>
                <w:szCs w:val="21"/>
                <w:highlight w:val="none"/>
                <w:lang w:eastAsia="zh-CN"/>
              </w:rPr>
              <w:t>2026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u w:val="single"/>
                <w:lang w:val="en-US" w:eastAsia="zh-CN"/>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13   </w:t>
            </w:r>
            <w:r>
              <w:rPr>
                <w:rFonts w:hint="eastAsia" w:ascii="宋体" w:hAnsi="宋体" w:cs="宋体"/>
                <w:color w:val="auto"/>
                <w:szCs w:val="21"/>
                <w:highlight w:val="none"/>
              </w:rPr>
              <w:t>日</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u w:val="single"/>
                <w:lang w:val="en-US" w:eastAsia="zh-CN"/>
              </w:rPr>
              <w:t>9</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rPr>
              <w:t>时</w:t>
            </w:r>
            <w:r>
              <w:rPr>
                <w:rFonts w:hint="eastAsia" w:ascii="宋体" w:hAnsi="宋体" w:cs="宋体"/>
                <w:b/>
                <w:bCs/>
                <w:color w:val="auto"/>
                <w:szCs w:val="21"/>
                <w:highlight w:val="none"/>
                <w:u w:val="single"/>
                <w:lang w:val="en-US" w:eastAsia="zh-CN"/>
              </w:rPr>
              <w:t>00</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rPr>
              <w:t>分</w:t>
            </w:r>
            <w:r>
              <w:rPr>
                <w:rFonts w:hint="eastAsia" w:ascii="宋体" w:hAnsi="宋体" w:cs="宋体"/>
                <w:color w:val="auto"/>
                <w:szCs w:val="21"/>
                <w:highlight w:val="none"/>
              </w:rPr>
              <w:t xml:space="preserve"> (北京时间)</w:t>
            </w:r>
          </w:p>
        </w:tc>
      </w:tr>
      <w:tr w14:paraId="3C8674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97" w:type="dxa"/>
            <w:tcBorders>
              <w:tl2br w:val="nil"/>
              <w:tr2bl w:val="nil"/>
            </w:tcBorders>
            <w:vAlign w:val="center"/>
          </w:tcPr>
          <w:p w14:paraId="2885716E">
            <w:pPr>
              <w:keepNext w:val="0"/>
              <w:keepLines w:val="0"/>
              <w:pageBreakBefore w:val="0"/>
              <w:widowControl w:val="0"/>
              <w:kinsoku/>
              <w:wordWrap/>
              <w:overflowPunct/>
              <w:topLinePunct w:val="0"/>
              <w:autoSpaceDE/>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第10.</w:t>
            </w:r>
            <w:r>
              <w:rPr>
                <w:rFonts w:hint="eastAsia" w:ascii="宋体" w:hAnsi="宋体"/>
                <w:color w:val="auto"/>
                <w:szCs w:val="21"/>
                <w:highlight w:val="none"/>
                <w:lang w:val="en-US" w:eastAsia="zh-CN"/>
              </w:rPr>
              <w:t>1</w:t>
            </w:r>
            <w:r>
              <w:rPr>
                <w:rFonts w:hint="eastAsia" w:ascii="宋体" w:hAnsi="宋体"/>
                <w:color w:val="auto"/>
                <w:szCs w:val="21"/>
                <w:highlight w:val="none"/>
                <w:lang w:val="zh-CN"/>
              </w:rPr>
              <w:t>款</w:t>
            </w:r>
          </w:p>
        </w:tc>
        <w:tc>
          <w:tcPr>
            <w:tcW w:w="1725" w:type="dxa"/>
            <w:tcBorders>
              <w:tl2br w:val="nil"/>
              <w:tr2bl w:val="nil"/>
            </w:tcBorders>
            <w:vAlign w:val="center"/>
          </w:tcPr>
          <w:p w14:paraId="11E89968">
            <w:pPr>
              <w:keepNext w:val="0"/>
              <w:keepLines w:val="0"/>
              <w:pageBreakBefore w:val="0"/>
              <w:widowControl w:val="0"/>
              <w:kinsoku/>
              <w:wordWrap/>
              <w:overflowPunct/>
              <w:topLinePunct w:val="0"/>
              <w:autoSpaceDE/>
              <w:bidi w:val="0"/>
              <w:adjustRightInd w:val="0"/>
              <w:snapToGrid w:val="0"/>
              <w:spacing w:line="240" w:lineRule="auto"/>
              <w:textAlignment w:val="auto"/>
              <w:rPr>
                <w:rFonts w:hint="eastAsia" w:ascii="宋体" w:hAnsi="宋体" w:cs="宋体"/>
                <w:color w:val="auto"/>
                <w:szCs w:val="21"/>
                <w:highlight w:val="none"/>
                <w:lang w:eastAsia="zh-CN"/>
              </w:rPr>
            </w:pPr>
            <w:r>
              <w:rPr>
                <w:rFonts w:hint="eastAsia" w:ascii="宋体" w:hAnsi="宋体" w:cs="宋体"/>
                <w:color w:val="auto"/>
                <w:kern w:val="0"/>
                <w:sz w:val="21"/>
                <w:szCs w:val="21"/>
                <w:highlight w:val="none"/>
                <w:lang w:bidi="ar"/>
              </w:rPr>
              <w:t>施工方案与技术措施</w:t>
            </w:r>
          </w:p>
        </w:tc>
        <w:tc>
          <w:tcPr>
            <w:tcW w:w="5898" w:type="dxa"/>
            <w:tcBorders>
              <w:tl2br w:val="nil"/>
              <w:tr2bl w:val="nil"/>
            </w:tcBorders>
            <w:vAlign w:val="center"/>
          </w:tcPr>
          <w:p w14:paraId="126C54C8">
            <w:pPr>
              <w:keepNext w:val="0"/>
              <w:keepLines w:val="0"/>
              <w:pageBreakBefore w:val="0"/>
              <w:widowControl w:val="0"/>
              <w:kinsoku/>
              <w:wordWrap/>
              <w:overflowPunct/>
              <w:topLinePunct w:val="0"/>
              <w:autoSpaceDE/>
              <w:bidi w:val="0"/>
              <w:adjustRightInd w:val="0"/>
              <w:snapToGrid w:val="0"/>
              <w:spacing w:line="240" w:lineRule="auto"/>
              <w:textAlignment w:val="auto"/>
              <w:rPr>
                <w:rFonts w:hint="default" w:ascii="宋体" w:hAnsi="宋体" w:cs="宋体"/>
                <w:color w:val="auto"/>
                <w:szCs w:val="21"/>
                <w:highlight w:val="none"/>
                <w:lang w:val="en-US" w:eastAsia="zh-CN"/>
              </w:rPr>
            </w:pPr>
            <w:r>
              <w:rPr>
                <w:rFonts w:hint="eastAsia" w:ascii="宋体" w:hAnsi="宋体" w:eastAsia="宋体" w:cs="宋体"/>
                <w:color w:val="auto"/>
                <w:kern w:val="2"/>
                <w:sz w:val="21"/>
                <w:szCs w:val="21"/>
                <w:highlight w:val="none"/>
                <w:shd w:val="clear" w:color="auto" w:fill="auto"/>
                <w:lang w:val="en-US" w:eastAsia="zh-CN" w:bidi="ar-SA"/>
              </w:rPr>
              <w:t>包括但不限于①对项目总体概况表述清晰、完整；②部署及措施先进、可靠；③对项目主要及关键方案有深入的表述，对重点、难点分析透彻，解决方案切实可行；④施工平面布置有针对性、合理，较好满足施工需要，符合安全、文明生产要求；⑤主要施工顺序、施工工艺、作业方法、作业流程、操作要领切实可行、有针对性。符合本项目要求为合格，否则直接废标。</w:t>
            </w:r>
          </w:p>
        </w:tc>
      </w:tr>
      <w:tr w14:paraId="4412A1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97" w:type="dxa"/>
            <w:tcBorders>
              <w:tl2br w:val="nil"/>
              <w:tr2bl w:val="nil"/>
            </w:tcBorders>
            <w:vAlign w:val="center"/>
          </w:tcPr>
          <w:p w14:paraId="61567139">
            <w:pPr>
              <w:keepNext w:val="0"/>
              <w:keepLines w:val="0"/>
              <w:pageBreakBefore w:val="0"/>
              <w:widowControl w:val="0"/>
              <w:kinsoku/>
              <w:wordWrap/>
              <w:overflowPunct/>
              <w:topLinePunct w:val="0"/>
              <w:autoSpaceDE/>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第10.</w:t>
            </w:r>
            <w:r>
              <w:rPr>
                <w:rFonts w:hint="eastAsia" w:ascii="宋体" w:hAnsi="宋体"/>
                <w:color w:val="auto"/>
                <w:szCs w:val="21"/>
                <w:highlight w:val="none"/>
                <w:lang w:val="en-US" w:eastAsia="zh-CN"/>
              </w:rPr>
              <w:t>2</w:t>
            </w:r>
            <w:r>
              <w:rPr>
                <w:rFonts w:hint="eastAsia" w:ascii="宋体" w:hAnsi="宋体"/>
                <w:color w:val="auto"/>
                <w:szCs w:val="21"/>
                <w:highlight w:val="none"/>
                <w:lang w:val="zh-CN"/>
              </w:rPr>
              <w:t>款</w:t>
            </w:r>
          </w:p>
        </w:tc>
        <w:tc>
          <w:tcPr>
            <w:tcW w:w="1725" w:type="dxa"/>
            <w:tcBorders>
              <w:tl2br w:val="nil"/>
              <w:tr2bl w:val="nil"/>
            </w:tcBorders>
            <w:vAlign w:val="center"/>
          </w:tcPr>
          <w:p w14:paraId="60F78AC5">
            <w:pPr>
              <w:keepNext w:val="0"/>
              <w:keepLines w:val="0"/>
              <w:pageBreakBefore w:val="0"/>
              <w:widowControl w:val="0"/>
              <w:kinsoku/>
              <w:wordWrap/>
              <w:overflowPunct/>
              <w:topLinePunct w:val="0"/>
              <w:autoSpaceDE/>
              <w:bidi w:val="0"/>
              <w:adjustRightInd w:val="0"/>
              <w:snapToGrid w:val="0"/>
              <w:spacing w:line="240" w:lineRule="auto"/>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业绩要求</w:t>
            </w:r>
          </w:p>
        </w:tc>
        <w:tc>
          <w:tcPr>
            <w:tcW w:w="5898" w:type="dxa"/>
            <w:tcBorders>
              <w:tl2br w:val="nil"/>
              <w:tr2bl w:val="nil"/>
            </w:tcBorders>
            <w:vAlign w:val="center"/>
          </w:tcPr>
          <w:p w14:paraId="79F4D197">
            <w:pPr>
              <w:keepNext w:val="0"/>
              <w:keepLines w:val="0"/>
              <w:pageBreakBefore w:val="0"/>
              <w:widowControl w:val="0"/>
              <w:kinsoku/>
              <w:wordWrap/>
              <w:overflowPunct/>
              <w:topLinePunct w:val="0"/>
              <w:autoSpaceDE/>
              <w:bidi w:val="0"/>
              <w:adjustRightInd w:val="0"/>
              <w:snapToGrid w:val="0"/>
              <w:spacing w:line="240" w:lineRule="auto"/>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需提供</w:t>
            </w:r>
            <w:r>
              <w:rPr>
                <w:rFonts w:hint="eastAsia" w:ascii="宋体" w:hAnsi="宋体" w:cs="宋体"/>
                <w:color w:val="auto"/>
                <w:szCs w:val="21"/>
                <w:highlight w:val="none"/>
                <w:lang w:val="en-US" w:eastAsia="zh-CN"/>
              </w:rPr>
              <w:t>36个月内1个类似项目业绩</w:t>
            </w:r>
          </w:p>
        </w:tc>
      </w:tr>
      <w:tr w14:paraId="5CAB30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97" w:type="dxa"/>
            <w:tcBorders>
              <w:tl2br w:val="nil"/>
              <w:tr2bl w:val="nil"/>
            </w:tcBorders>
            <w:vAlign w:val="center"/>
          </w:tcPr>
          <w:p w14:paraId="3B2B8EB8">
            <w:pPr>
              <w:keepNext w:val="0"/>
              <w:keepLines w:val="0"/>
              <w:pageBreakBefore w:val="0"/>
              <w:widowControl w:val="0"/>
              <w:kinsoku/>
              <w:wordWrap/>
              <w:overflowPunct/>
              <w:topLinePunct w:val="0"/>
              <w:autoSpaceDE/>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第10.3</w:t>
            </w:r>
            <w:r>
              <w:rPr>
                <w:rFonts w:hint="eastAsia" w:ascii="宋体" w:hAnsi="宋体"/>
                <w:color w:val="auto"/>
                <w:szCs w:val="21"/>
                <w:highlight w:val="none"/>
                <w:lang w:val="zh-CN"/>
              </w:rPr>
              <w:t>款</w:t>
            </w:r>
          </w:p>
        </w:tc>
        <w:tc>
          <w:tcPr>
            <w:tcW w:w="1725" w:type="dxa"/>
            <w:tcBorders>
              <w:tl2br w:val="nil"/>
              <w:tr2bl w:val="nil"/>
            </w:tcBorders>
            <w:vAlign w:val="center"/>
          </w:tcPr>
          <w:p w14:paraId="360E5206">
            <w:pPr>
              <w:keepNext w:val="0"/>
              <w:keepLines w:val="0"/>
              <w:pageBreakBefore w:val="0"/>
              <w:widowControl w:val="0"/>
              <w:kinsoku/>
              <w:wordWrap/>
              <w:overflowPunct/>
              <w:topLinePunct w:val="0"/>
              <w:autoSpaceDE/>
              <w:bidi w:val="0"/>
              <w:adjustRightInd w:val="0"/>
              <w:snapToGrid w:val="0"/>
              <w:spacing w:line="240" w:lineRule="auto"/>
              <w:textAlignment w:val="auto"/>
              <w:rPr>
                <w:rFonts w:ascii="宋体" w:hAnsi="宋体" w:cs="宋体"/>
                <w:color w:val="auto"/>
                <w:szCs w:val="21"/>
                <w:highlight w:val="none"/>
              </w:rPr>
            </w:pPr>
            <w:r>
              <w:rPr>
                <w:rFonts w:hint="eastAsia" w:ascii="宋体" w:hAnsi="宋体" w:cs="宋体"/>
                <w:color w:val="auto"/>
                <w:szCs w:val="21"/>
                <w:highlight w:val="none"/>
              </w:rPr>
              <w:t>一般条款允许偏离的最高项数</w:t>
            </w:r>
          </w:p>
        </w:tc>
        <w:tc>
          <w:tcPr>
            <w:tcW w:w="5898" w:type="dxa"/>
            <w:tcBorders>
              <w:tl2br w:val="nil"/>
              <w:tr2bl w:val="nil"/>
            </w:tcBorders>
            <w:vAlign w:val="center"/>
          </w:tcPr>
          <w:p w14:paraId="7CBBF047">
            <w:pPr>
              <w:keepNext w:val="0"/>
              <w:keepLines w:val="0"/>
              <w:pageBreakBefore w:val="0"/>
              <w:widowControl w:val="0"/>
              <w:kinsoku/>
              <w:wordWrap/>
              <w:overflowPunct/>
              <w:topLinePunct w:val="0"/>
              <w:autoSpaceDE/>
              <w:bidi w:val="0"/>
              <w:adjustRightInd w:val="0"/>
              <w:snapToGrid w:val="0"/>
              <w:spacing w:line="240" w:lineRule="auto"/>
              <w:textAlignment w:val="auto"/>
              <w:rPr>
                <w:rFonts w:ascii="宋体" w:hAnsi="宋体" w:cs="宋体"/>
                <w:color w:val="auto"/>
                <w:szCs w:val="21"/>
                <w:highlight w:val="none"/>
              </w:rPr>
            </w:pPr>
            <w:r>
              <w:rPr>
                <w:rFonts w:hint="eastAsia" w:ascii="宋体" w:hAnsi="宋体" w:cs="宋体"/>
                <w:color w:val="auto"/>
                <w:szCs w:val="21"/>
                <w:highlight w:val="none"/>
              </w:rPr>
              <w:t>一般商务和技术条款（参数），偏离项数之和＞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项将导致无效响应(最高项数不超过</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项)。</w:t>
            </w:r>
          </w:p>
        </w:tc>
      </w:tr>
      <w:tr w14:paraId="3AAE4D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97" w:type="dxa"/>
            <w:tcBorders>
              <w:tl2br w:val="nil"/>
              <w:tr2bl w:val="nil"/>
            </w:tcBorders>
            <w:vAlign w:val="center"/>
          </w:tcPr>
          <w:p w14:paraId="7BBC3024">
            <w:pPr>
              <w:keepNext w:val="0"/>
              <w:keepLines w:val="0"/>
              <w:pageBreakBefore w:val="0"/>
              <w:widowControl w:val="0"/>
              <w:kinsoku/>
              <w:wordWrap/>
              <w:overflowPunct/>
              <w:topLinePunct w:val="0"/>
              <w:autoSpaceDE/>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第10.4</w:t>
            </w:r>
            <w:r>
              <w:rPr>
                <w:rFonts w:hint="eastAsia" w:ascii="宋体" w:hAnsi="宋体"/>
                <w:color w:val="auto"/>
                <w:szCs w:val="21"/>
                <w:highlight w:val="none"/>
                <w:lang w:val="zh-CN"/>
              </w:rPr>
              <w:t>款</w:t>
            </w:r>
          </w:p>
        </w:tc>
        <w:tc>
          <w:tcPr>
            <w:tcW w:w="1725" w:type="dxa"/>
            <w:tcBorders>
              <w:tl2br w:val="nil"/>
              <w:tr2bl w:val="nil"/>
            </w:tcBorders>
            <w:vAlign w:val="center"/>
          </w:tcPr>
          <w:p w14:paraId="6338E7CF">
            <w:pPr>
              <w:keepNext w:val="0"/>
              <w:keepLines w:val="0"/>
              <w:pageBreakBefore w:val="0"/>
              <w:widowControl w:val="0"/>
              <w:kinsoku/>
              <w:wordWrap/>
              <w:overflowPunct/>
              <w:topLinePunct w:val="0"/>
              <w:autoSpaceDE/>
              <w:bidi w:val="0"/>
              <w:adjustRightInd w:val="0"/>
              <w:snapToGrid w:val="0"/>
              <w:spacing w:line="240" w:lineRule="auto"/>
              <w:textAlignment w:val="auto"/>
              <w:rPr>
                <w:rFonts w:ascii="宋体" w:hAnsi="宋体" w:cs="宋体"/>
                <w:color w:val="auto"/>
                <w:szCs w:val="21"/>
                <w:highlight w:val="none"/>
              </w:rPr>
            </w:pPr>
            <w:r>
              <w:rPr>
                <w:rFonts w:hint="eastAsia" w:ascii="宋体" w:hAnsi="宋体" w:cs="宋体"/>
                <w:color w:val="auto"/>
                <w:szCs w:val="21"/>
                <w:highlight w:val="none"/>
              </w:rPr>
              <w:t>条款数（最高项数）的统计方法</w:t>
            </w:r>
          </w:p>
        </w:tc>
        <w:tc>
          <w:tcPr>
            <w:tcW w:w="5898" w:type="dxa"/>
            <w:tcBorders>
              <w:tl2br w:val="nil"/>
              <w:tr2bl w:val="nil"/>
            </w:tcBorders>
            <w:vAlign w:val="center"/>
          </w:tcPr>
          <w:p w14:paraId="01C73B84">
            <w:pPr>
              <w:keepNext w:val="0"/>
              <w:keepLines w:val="0"/>
              <w:pageBreakBefore w:val="0"/>
              <w:widowControl w:val="0"/>
              <w:kinsoku/>
              <w:wordWrap/>
              <w:overflowPunct/>
              <w:topLinePunct w:val="0"/>
              <w:autoSpaceDE/>
              <w:bidi w:val="0"/>
              <w:adjustRightInd w:val="0"/>
              <w:snapToGrid w:val="0"/>
              <w:spacing w:line="240" w:lineRule="auto"/>
              <w:textAlignment w:val="auto"/>
              <w:rPr>
                <w:rFonts w:ascii="宋体" w:hAnsi="宋体" w:cs="宋体"/>
                <w:color w:val="auto"/>
                <w:szCs w:val="21"/>
                <w:highlight w:val="none"/>
              </w:rPr>
            </w:pPr>
            <w:r>
              <w:rPr>
                <w:rFonts w:hint="eastAsia" w:ascii="宋体" w:hAnsi="宋体" w:cs="宋体"/>
                <w:color w:val="auto"/>
                <w:szCs w:val="21"/>
                <w:highlight w:val="none"/>
              </w:rPr>
              <w:t>相同内容的条款不重复计算项数</w:t>
            </w:r>
          </w:p>
        </w:tc>
      </w:tr>
      <w:tr w14:paraId="4FF69C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0" w:type="dxa"/>
            <w:gridSpan w:val="3"/>
            <w:tcBorders>
              <w:tl2br w:val="nil"/>
              <w:tr2bl w:val="nil"/>
            </w:tcBorders>
            <w:vAlign w:val="center"/>
          </w:tcPr>
          <w:p w14:paraId="315B7F64">
            <w:pPr>
              <w:keepNext w:val="0"/>
              <w:keepLines w:val="0"/>
              <w:pageBreakBefore w:val="0"/>
              <w:widowControl w:val="0"/>
              <w:kinsoku/>
              <w:wordWrap/>
              <w:overflowPunct/>
              <w:topLinePunct w:val="0"/>
              <w:autoSpaceDE/>
              <w:bidi w:val="0"/>
              <w:adjustRightInd w:val="0"/>
              <w:snapToGrid w:val="0"/>
              <w:spacing w:line="240" w:lineRule="auto"/>
              <w:textAlignment w:val="auto"/>
              <w:rPr>
                <w:rFonts w:ascii="宋体" w:hAnsi="宋体"/>
                <w:color w:val="auto"/>
                <w:szCs w:val="21"/>
                <w:highlight w:val="none"/>
              </w:rPr>
            </w:pPr>
            <w:r>
              <w:rPr>
                <w:rFonts w:hint="eastAsia" w:ascii="宋体" w:hAnsi="宋体"/>
                <w:b/>
                <w:color w:val="auto"/>
                <w:szCs w:val="21"/>
                <w:highlight w:val="none"/>
              </w:rPr>
              <w:t>三、响应文件的编写</w:t>
            </w:r>
          </w:p>
        </w:tc>
      </w:tr>
      <w:tr w14:paraId="0C68EF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97" w:type="dxa"/>
            <w:tcBorders>
              <w:tl2br w:val="nil"/>
              <w:tr2bl w:val="nil"/>
            </w:tcBorders>
            <w:vAlign w:val="center"/>
          </w:tcPr>
          <w:p w14:paraId="454C03A6">
            <w:pPr>
              <w:keepNext w:val="0"/>
              <w:keepLines w:val="0"/>
              <w:pageBreakBefore w:val="0"/>
              <w:widowControl w:val="0"/>
              <w:kinsoku/>
              <w:wordWrap/>
              <w:overflowPunct/>
              <w:topLinePunct w:val="0"/>
              <w:autoSpaceDE/>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第14.3款</w:t>
            </w:r>
          </w:p>
        </w:tc>
        <w:tc>
          <w:tcPr>
            <w:tcW w:w="1725" w:type="dxa"/>
            <w:tcBorders>
              <w:tl2br w:val="nil"/>
              <w:tr2bl w:val="nil"/>
            </w:tcBorders>
            <w:vAlign w:val="center"/>
          </w:tcPr>
          <w:p w14:paraId="6ED0D622">
            <w:pPr>
              <w:keepNext w:val="0"/>
              <w:keepLines w:val="0"/>
              <w:pageBreakBefore w:val="0"/>
              <w:widowControl w:val="0"/>
              <w:kinsoku/>
              <w:wordWrap/>
              <w:overflowPunct/>
              <w:topLinePunct w:val="0"/>
              <w:autoSpaceDE/>
              <w:bidi w:val="0"/>
              <w:adjustRightInd w:val="0"/>
              <w:snapToGrid w:val="0"/>
              <w:spacing w:line="240" w:lineRule="auto"/>
              <w:textAlignment w:val="auto"/>
              <w:rPr>
                <w:rFonts w:ascii="宋体" w:hAnsi="宋体" w:cs="宋体"/>
                <w:color w:val="auto"/>
                <w:szCs w:val="21"/>
                <w:highlight w:val="none"/>
              </w:rPr>
            </w:pPr>
            <w:r>
              <w:rPr>
                <w:rFonts w:hint="eastAsia" w:ascii="宋体" w:hAnsi="宋体" w:cs="宋体"/>
                <w:color w:val="auto"/>
                <w:szCs w:val="21"/>
                <w:highlight w:val="none"/>
              </w:rPr>
              <w:t>采购项目预算</w:t>
            </w:r>
          </w:p>
        </w:tc>
        <w:tc>
          <w:tcPr>
            <w:tcW w:w="5898" w:type="dxa"/>
            <w:tcBorders>
              <w:tl2br w:val="nil"/>
              <w:tr2bl w:val="nil"/>
            </w:tcBorders>
            <w:vAlign w:val="center"/>
          </w:tcPr>
          <w:p w14:paraId="7EEDA11A">
            <w:pPr>
              <w:keepNext w:val="0"/>
              <w:keepLines w:val="0"/>
              <w:pageBreakBefore w:val="0"/>
              <w:widowControl w:val="0"/>
              <w:kinsoku/>
              <w:wordWrap/>
              <w:overflowPunct/>
              <w:topLinePunct w:val="0"/>
              <w:autoSpaceDE/>
              <w:bidi w:val="0"/>
              <w:adjustRightInd w:val="0"/>
              <w:snapToGrid w:val="0"/>
              <w:spacing w:line="240" w:lineRule="auto"/>
              <w:textAlignment w:val="auto"/>
              <w:rPr>
                <w:rFonts w:hint="default" w:ascii="宋体" w:hAnsi="宋体"/>
                <w:color w:val="auto"/>
                <w:szCs w:val="21"/>
                <w:highlight w:val="none"/>
                <w:lang w:val="en-US"/>
              </w:rPr>
            </w:pPr>
            <w:r>
              <w:rPr>
                <w:rFonts w:hint="eastAsia" w:ascii="宋体" w:hAnsi="宋体"/>
                <w:bCs/>
                <w:color w:val="FF0000"/>
                <w:szCs w:val="21"/>
                <w:highlight w:val="none"/>
              </w:rPr>
              <w:t>￥</w:t>
            </w:r>
            <w:r>
              <w:rPr>
                <w:rFonts w:hint="eastAsia" w:ascii="宋体" w:hAnsi="宋体" w:cs="宋体"/>
                <w:b/>
                <w:bCs/>
                <w:color w:val="auto"/>
                <w:szCs w:val="21"/>
                <w:highlight w:val="yellow"/>
                <w:lang w:val="en-US" w:eastAsia="zh-CN"/>
              </w:rPr>
              <w:t>1382856</w:t>
            </w:r>
            <w:r>
              <w:rPr>
                <w:rFonts w:hint="eastAsia" w:ascii="宋体" w:hAnsi="宋体" w:cs="宋体"/>
                <w:b/>
                <w:bCs/>
                <w:color w:val="FF0000"/>
                <w:szCs w:val="21"/>
                <w:highlight w:val="yellow"/>
              </w:rPr>
              <w:t>元</w:t>
            </w:r>
          </w:p>
        </w:tc>
      </w:tr>
      <w:tr w14:paraId="5BD12D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97" w:type="dxa"/>
            <w:tcBorders>
              <w:tl2br w:val="nil"/>
              <w:tr2bl w:val="nil"/>
            </w:tcBorders>
            <w:vAlign w:val="center"/>
          </w:tcPr>
          <w:p w14:paraId="3F431B30">
            <w:pPr>
              <w:keepNext w:val="0"/>
              <w:keepLines w:val="0"/>
              <w:pageBreakBefore w:val="0"/>
              <w:widowControl w:val="0"/>
              <w:kinsoku/>
              <w:wordWrap/>
              <w:overflowPunct/>
              <w:topLinePunct w:val="0"/>
              <w:autoSpaceDE/>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第15.1款</w:t>
            </w:r>
          </w:p>
        </w:tc>
        <w:tc>
          <w:tcPr>
            <w:tcW w:w="1725" w:type="dxa"/>
            <w:tcBorders>
              <w:tl2br w:val="nil"/>
              <w:tr2bl w:val="nil"/>
            </w:tcBorders>
            <w:vAlign w:val="center"/>
          </w:tcPr>
          <w:p w14:paraId="73C94476">
            <w:pPr>
              <w:keepNext w:val="0"/>
              <w:keepLines w:val="0"/>
              <w:pageBreakBefore w:val="0"/>
              <w:widowControl w:val="0"/>
              <w:kinsoku/>
              <w:wordWrap/>
              <w:overflowPunct/>
              <w:topLinePunct w:val="0"/>
              <w:autoSpaceDE/>
              <w:bidi w:val="0"/>
              <w:adjustRightInd w:val="0"/>
              <w:snapToGrid w:val="0"/>
              <w:spacing w:line="240" w:lineRule="auto"/>
              <w:textAlignment w:val="auto"/>
              <w:rPr>
                <w:rFonts w:ascii="宋体" w:hAnsi="宋体" w:cs="宋体"/>
                <w:color w:val="auto"/>
                <w:szCs w:val="21"/>
                <w:highlight w:val="none"/>
              </w:rPr>
            </w:pPr>
            <w:r>
              <w:rPr>
                <w:rFonts w:hint="eastAsia" w:ascii="宋体" w:hAnsi="宋体" w:cs="宋体"/>
                <w:color w:val="auto"/>
                <w:szCs w:val="21"/>
                <w:highlight w:val="none"/>
              </w:rPr>
              <w:t>保证金</w:t>
            </w:r>
          </w:p>
        </w:tc>
        <w:tc>
          <w:tcPr>
            <w:tcW w:w="5898" w:type="dxa"/>
            <w:tcBorders>
              <w:tl2br w:val="nil"/>
              <w:tr2bl w:val="nil"/>
            </w:tcBorders>
            <w:vAlign w:val="center"/>
          </w:tcPr>
          <w:p w14:paraId="3696DE62">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both"/>
              <w:textAlignment w:val="auto"/>
              <w:outlineLvl w:val="9"/>
              <w:rPr>
                <w:rFonts w:ascii="宋体" w:hAnsi="宋体" w:cs="宋体"/>
                <w:color w:val="auto"/>
                <w:szCs w:val="21"/>
                <w:highlight w:val="none"/>
              </w:rPr>
            </w:pPr>
            <w:r>
              <w:rPr>
                <w:rFonts w:hint="eastAsia"/>
                <w:color w:val="auto"/>
                <w:highlight w:val="none"/>
                <w:lang w:eastAsia="zh-CN"/>
              </w:rPr>
              <w:t>不要求提供。</w:t>
            </w:r>
          </w:p>
        </w:tc>
      </w:tr>
      <w:tr w14:paraId="64D9FB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97" w:type="dxa"/>
            <w:tcBorders>
              <w:tl2br w:val="nil"/>
              <w:tr2bl w:val="nil"/>
            </w:tcBorders>
            <w:vAlign w:val="center"/>
          </w:tcPr>
          <w:p w14:paraId="1B73A2A9">
            <w:pPr>
              <w:keepNext w:val="0"/>
              <w:keepLines w:val="0"/>
              <w:pageBreakBefore w:val="0"/>
              <w:widowControl w:val="0"/>
              <w:kinsoku/>
              <w:wordWrap/>
              <w:overflowPunct/>
              <w:topLinePunct w:val="0"/>
              <w:autoSpaceDE/>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第16.1款</w:t>
            </w:r>
          </w:p>
        </w:tc>
        <w:tc>
          <w:tcPr>
            <w:tcW w:w="1725" w:type="dxa"/>
            <w:tcBorders>
              <w:tl2br w:val="nil"/>
              <w:tr2bl w:val="nil"/>
            </w:tcBorders>
            <w:vAlign w:val="center"/>
          </w:tcPr>
          <w:p w14:paraId="61B80B90">
            <w:pPr>
              <w:keepNext w:val="0"/>
              <w:keepLines w:val="0"/>
              <w:pageBreakBefore w:val="0"/>
              <w:widowControl w:val="0"/>
              <w:kinsoku/>
              <w:wordWrap/>
              <w:overflowPunct/>
              <w:topLinePunct w:val="0"/>
              <w:autoSpaceDE/>
              <w:bidi w:val="0"/>
              <w:adjustRightInd w:val="0"/>
              <w:snapToGrid w:val="0"/>
              <w:spacing w:line="240" w:lineRule="auto"/>
              <w:textAlignment w:val="auto"/>
              <w:rPr>
                <w:rFonts w:ascii="宋体" w:hAnsi="宋体" w:cs="宋体"/>
                <w:color w:val="auto"/>
                <w:szCs w:val="21"/>
                <w:highlight w:val="none"/>
              </w:rPr>
            </w:pPr>
            <w:r>
              <w:rPr>
                <w:rFonts w:hint="eastAsia" w:ascii="宋体" w:hAnsi="宋体" w:cs="宋体"/>
                <w:color w:val="auto"/>
                <w:szCs w:val="21"/>
                <w:highlight w:val="none"/>
              </w:rPr>
              <w:t>响应文件有效期</w:t>
            </w:r>
          </w:p>
        </w:tc>
        <w:tc>
          <w:tcPr>
            <w:tcW w:w="5898" w:type="dxa"/>
            <w:tcBorders>
              <w:tl2br w:val="nil"/>
              <w:tr2bl w:val="nil"/>
            </w:tcBorders>
            <w:vAlign w:val="center"/>
          </w:tcPr>
          <w:p w14:paraId="0A2DFA67">
            <w:pPr>
              <w:keepNext w:val="0"/>
              <w:keepLines w:val="0"/>
              <w:pageBreakBefore w:val="0"/>
              <w:widowControl w:val="0"/>
              <w:kinsoku/>
              <w:wordWrap/>
              <w:overflowPunct/>
              <w:topLinePunct w:val="0"/>
              <w:autoSpaceDE/>
              <w:bidi w:val="0"/>
              <w:adjustRightInd w:val="0"/>
              <w:snapToGrid w:val="0"/>
              <w:spacing w:line="240" w:lineRule="auto"/>
              <w:textAlignment w:val="auto"/>
              <w:rPr>
                <w:rFonts w:ascii="宋体" w:hAnsi="宋体"/>
                <w:color w:val="auto"/>
                <w:szCs w:val="21"/>
                <w:highlight w:val="none"/>
              </w:rPr>
            </w:pPr>
            <w:r>
              <w:rPr>
                <w:rFonts w:hint="eastAsia" w:ascii="宋体" w:hAnsi="宋体"/>
                <w:color w:val="auto"/>
                <w:szCs w:val="21"/>
                <w:highlight w:val="none"/>
              </w:rPr>
              <w:t>60日（日历日）</w:t>
            </w:r>
          </w:p>
        </w:tc>
      </w:tr>
      <w:tr w14:paraId="19E238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97" w:type="dxa"/>
            <w:tcBorders>
              <w:tl2br w:val="nil"/>
              <w:tr2bl w:val="nil"/>
            </w:tcBorders>
            <w:vAlign w:val="center"/>
          </w:tcPr>
          <w:p w14:paraId="546A3527">
            <w:pPr>
              <w:keepNext w:val="0"/>
              <w:keepLines w:val="0"/>
              <w:pageBreakBefore w:val="0"/>
              <w:widowControl w:val="0"/>
              <w:kinsoku/>
              <w:wordWrap/>
              <w:overflowPunct/>
              <w:topLinePunct w:val="0"/>
              <w:autoSpaceDE/>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第17.1款</w:t>
            </w:r>
          </w:p>
        </w:tc>
        <w:tc>
          <w:tcPr>
            <w:tcW w:w="1725" w:type="dxa"/>
            <w:tcBorders>
              <w:tl2br w:val="nil"/>
              <w:tr2bl w:val="nil"/>
            </w:tcBorders>
            <w:vAlign w:val="center"/>
          </w:tcPr>
          <w:p w14:paraId="106D4476">
            <w:pPr>
              <w:keepNext w:val="0"/>
              <w:keepLines w:val="0"/>
              <w:pageBreakBefore w:val="0"/>
              <w:widowControl w:val="0"/>
              <w:kinsoku/>
              <w:wordWrap/>
              <w:overflowPunct/>
              <w:topLinePunct w:val="0"/>
              <w:autoSpaceDE/>
              <w:bidi w:val="0"/>
              <w:adjustRightInd w:val="0"/>
              <w:snapToGrid w:val="0"/>
              <w:spacing w:line="240" w:lineRule="auto"/>
              <w:textAlignment w:val="auto"/>
              <w:rPr>
                <w:rFonts w:ascii="宋体" w:hAnsi="宋体" w:cs="宋体"/>
                <w:color w:val="auto"/>
                <w:szCs w:val="21"/>
                <w:highlight w:val="none"/>
              </w:rPr>
            </w:pPr>
            <w:r>
              <w:rPr>
                <w:rFonts w:hint="eastAsia" w:ascii="宋体" w:hAnsi="宋体" w:cs="宋体"/>
                <w:color w:val="auto"/>
                <w:szCs w:val="21"/>
                <w:highlight w:val="none"/>
              </w:rPr>
              <w:t>响应文件副本份数</w:t>
            </w:r>
          </w:p>
        </w:tc>
        <w:tc>
          <w:tcPr>
            <w:tcW w:w="5898" w:type="dxa"/>
            <w:tcBorders>
              <w:tl2br w:val="nil"/>
              <w:tr2bl w:val="nil"/>
            </w:tcBorders>
            <w:vAlign w:val="center"/>
          </w:tcPr>
          <w:p w14:paraId="6BCB2858">
            <w:pPr>
              <w:keepNext w:val="0"/>
              <w:keepLines w:val="0"/>
              <w:pageBreakBefore w:val="0"/>
              <w:widowControl w:val="0"/>
              <w:kinsoku/>
              <w:wordWrap/>
              <w:overflowPunct/>
              <w:topLinePunct w:val="0"/>
              <w:autoSpaceDE/>
              <w:bidi w:val="0"/>
              <w:adjustRightInd w:val="0"/>
              <w:snapToGrid w:val="0"/>
              <w:spacing w:line="240" w:lineRule="auto"/>
              <w:textAlignment w:val="auto"/>
              <w:rPr>
                <w:rFonts w:ascii="宋体" w:hAnsi="宋体"/>
                <w:color w:val="auto"/>
                <w:szCs w:val="21"/>
                <w:highlight w:val="none"/>
              </w:rPr>
            </w:pPr>
            <w:r>
              <w:rPr>
                <w:rFonts w:hint="eastAsia" w:ascii="宋体" w:hAnsi="宋体"/>
                <w:color w:val="auto"/>
                <w:szCs w:val="21"/>
                <w:highlight w:val="none"/>
                <w:lang w:eastAsia="zh-CN"/>
              </w:rPr>
              <w:t>正本一份，</w:t>
            </w:r>
            <w:r>
              <w:rPr>
                <w:rFonts w:hint="eastAsia" w:ascii="宋体" w:hAnsi="宋体"/>
                <w:color w:val="auto"/>
                <w:szCs w:val="21"/>
                <w:highlight w:val="none"/>
              </w:rPr>
              <w:t>副本贰份。</w:t>
            </w:r>
          </w:p>
        </w:tc>
      </w:tr>
      <w:tr w14:paraId="57AF70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0" w:type="dxa"/>
            <w:gridSpan w:val="3"/>
            <w:tcBorders>
              <w:tl2br w:val="nil"/>
              <w:tr2bl w:val="nil"/>
            </w:tcBorders>
            <w:vAlign w:val="center"/>
          </w:tcPr>
          <w:p w14:paraId="78C7B8BF">
            <w:pPr>
              <w:keepNext w:val="0"/>
              <w:keepLines w:val="0"/>
              <w:pageBreakBefore w:val="0"/>
              <w:widowControl w:val="0"/>
              <w:kinsoku/>
              <w:wordWrap/>
              <w:overflowPunct/>
              <w:topLinePunct w:val="0"/>
              <w:autoSpaceDE/>
              <w:bidi w:val="0"/>
              <w:adjustRightInd w:val="0"/>
              <w:snapToGrid w:val="0"/>
              <w:spacing w:line="240" w:lineRule="auto"/>
              <w:textAlignment w:val="auto"/>
              <w:rPr>
                <w:rFonts w:ascii="宋体" w:hAnsi="宋体"/>
                <w:b/>
                <w:bCs/>
                <w:color w:val="auto"/>
                <w:szCs w:val="21"/>
                <w:highlight w:val="none"/>
              </w:rPr>
            </w:pPr>
            <w:r>
              <w:rPr>
                <w:rFonts w:hint="eastAsia" w:ascii="宋体" w:hAnsi="宋体"/>
                <w:b/>
                <w:color w:val="auto"/>
                <w:szCs w:val="21"/>
                <w:highlight w:val="none"/>
              </w:rPr>
              <w:t>四、响应文件的递交</w:t>
            </w:r>
          </w:p>
        </w:tc>
      </w:tr>
      <w:tr w14:paraId="23CD6D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97" w:type="dxa"/>
            <w:tcBorders>
              <w:tl2br w:val="nil"/>
              <w:tr2bl w:val="nil"/>
            </w:tcBorders>
            <w:vAlign w:val="center"/>
          </w:tcPr>
          <w:p w14:paraId="0A4A87E2">
            <w:pPr>
              <w:keepNext w:val="0"/>
              <w:keepLines w:val="0"/>
              <w:pageBreakBefore w:val="0"/>
              <w:widowControl w:val="0"/>
              <w:kinsoku/>
              <w:wordWrap/>
              <w:overflowPunct/>
              <w:topLinePunct w:val="0"/>
              <w:autoSpaceDE/>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第18.2款</w:t>
            </w:r>
          </w:p>
        </w:tc>
        <w:tc>
          <w:tcPr>
            <w:tcW w:w="1725" w:type="dxa"/>
            <w:tcBorders>
              <w:tl2br w:val="nil"/>
              <w:tr2bl w:val="nil"/>
            </w:tcBorders>
            <w:vAlign w:val="center"/>
          </w:tcPr>
          <w:p w14:paraId="60B12B59">
            <w:pPr>
              <w:keepNext w:val="0"/>
              <w:keepLines w:val="0"/>
              <w:pageBreakBefore w:val="0"/>
              <w:widowControl w:val="0"/>
              <w:kinsoku/>
              <w:wordWrap/>
              <w:overflowPunct/>
              <w:topLinePunct w:val="0"/>
              <w:autoSpaceDE/>
              <w:bidi w:val="0"/>
              <w:adjustRightInd w:val="0"/>
              <w:snapToGrid w:val="0"/>
              <w:spacing w:line="240" w:lineRule="auto"/>
              <w:textAlignment w:val="auto"/>
              <w:rPr>
                <w:rFonts w:ascii="宋体" w:hAnsi="宋体" w:cs="宋体"/>
                <w:color w:val="auto"/>
                <w:szCs w:val="21"/>
                <w:highlight w:val="none"/>
              </w:rPr>
            </w:pPr>
            <w:r>
              <w:rPr>
                <w:rFonts w:hint="eastAsia" w:ascii="宋体" w:hAnsi="宋体" w:cs="宋体"/>
                <w:color w:val="auto"/>
                <w:szCs w:val="21"/>
                <w:highlight w:val="none"/>
              </w:rPr>
              <w:t>封套上应载明的信息</w:t>
            </w:r>
          </w:p>
        </w:tc>
        <w:tc>
          <w:tcPr>
            <w:tcW w:w="5898" w:type="dxa"/>
            <w:tcBorders>
              <w:tl2br w:val="nil"/>
              <w:tr2bl w:val="nil"/>
            </w:tcBorders>
            <w:vAlign w:val="center"/>
          </w:tcPr>
          <w:p w14:paraId="340781D6">
            <w:pPr>
              <w:keepNext w:val="0"/>
              <w:keepLines w:val="0"/>
              <w:pageBreakBefore w:val="0"/>
              <w:widowControl w:val="0"/>
              <w:kinsoku/>
              <w:wordWrap/>
              <w:overflowPunct/>
              <w:topLinePunct w:val="0"/>
              <w:autoSpaceDE/>
              <w:bidi w:val="0"/>
              <w:adjustRightInd w:val="0"/>
              <w:snapToGrid w:val="0"/>
              <w:spacing w:line="240" w:lineRule="auto"/>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eastAsia="宋体" w:cs="宋体"/>
                <w:color w:val="auto"/>
                <w:sz w:val="21"/>
                <w:szCs w:val="21"/>
                <w:highlight w:val="none"/>
                <w:u w:val="single"/>
                <w:lang w:val="en-US" w:eastAsia="zh-CN"/>
              </w:rPr>
              <w:t>株洲北斗应用与信息技术产业示范基地配套基础设施项目（一期）</w:t>
            </w:r>
            <w:r>
              <w:rPr>
                <w:rFonts w:hint="eastAsia" w:ascii="宋体" w:hAnsi="宋体"/>
                <w:color w:val="auto"/>
                <w:szCs w:val="21"/>
                <w:highlight w:val="none"/>
                <w:u w:val="single"/>
                <w:lang w:eastAsia="zh-CN"/>
              </w:rPr>
              <w:t>钢结构安装</w:t>
            </w:r>
          </w:p>
          <w:p w14:paraId="7B8009F2">
            <w:pPr>
              <w:keepNext w:val="0"/>
              <w:keepLines w:val="0"/>
              <w:pageBreakBefore w:val="0"/>
              <w:widowControl w:val="0"/>
              <w:kinsoku/>
              <w:wordWrap/>
              <w:overflowPunct/>
              <w:topLinePunct w:val="0"/>
              <w:autoSpaceDE/>
              <w:bidi w:val="0"/>
              <w:adjustRightInd w:val="0"/>
              <w:snapToGrid w:val="0"/>
              <w:spacing w:line="240" w:lineRule="auto"/>
              <w:textAlignment w:val="auto"/>
              <w:rPr>
                <w:rFonts w:ascii="宋体" w:hAnsi="宋体"/>
                <w:color w:val="auto"/>
                <w:szCs w:val="21"/>
                <w:highlight w:val="none"/>
              </w:rPr>
            </w:pPr>
            <w:r>
              <w:rPr>
                <w:rFonts w:hint="eastAsia" w:ascii="宋体" w:hAnsi="宋体"/>
                <w:color w:val="auto"/>
                <w:szCs w:val="21"/>
                <w:highlight w:val="none"/>
              </w:rPr>
              <w:t>采购人名称：</w:t>
            </w:r>
            <w:r>
              <w:rPr>
                <w:rFonts w:hint="eastAsia" w:ascii="宋体" w:hAnsi="宋体"/>
                <w:color w:val="auto"/>
                <w:szCs w:val="21"/>
                <w:highlight w:val="none"/>
                <w:u w:val="single"/>
                <w:lang w:eastAsia="zh-CN"/>
              </w:rPr>
              <w:t xml:space="preserve">株洲市云龙发展集团城市建设有限公司   </w:t>
            </w:r>
            <w:r>
              <w:rPr>
                <w:rFonts w:hint="eastAsia" w:ascii="宋体" w:hAnsi="宋体"/>
                <w:color w:val="auto"/>
                <w:szCs w:val="21"/>
                <w:highlight w:val="none"/>
              </w:rPr>
              <w:t xml:space="preserve">                              </w:t>
            </w:r>
          </w:p>
          <w:p w14:paraId="6E8658F4">
            <w:pPr>
              <w:keepNext w:val="0"/>
              <w:keepLines w:val="0"/>
              <w:pageBreakBefore w:val="0"/>
              <w:widowControl w:val="0"/>
              <w:kinsoku/>
              <w:wordWrap/>
              <w:overflowPunct/>
              <w:topLinePunct w:val="0"/>
              <w:autoSpaceDE/>
              <w:bidi w:val="0"/>
              <w:adjustRightInd w:val="0"/>
              <w:snapToGrid w:val="0"/>
              <w:spacing w:line="240" w:lineRule="auto"/>
              <w:textAlignment w:val="auto"/>
              <w:rPr>
                <w:rFonts w:ascii="宋体" w:hAnsi="宋体"/>
                <w:color w:val="auto"/>
                <w:szCs w:val="21"/>
                <w:highlight w:val="none"/>
              </w:rPr>
            </w:pPr>
            <w:r>
              <w:rPr>
                <w:rFonts w:hint="eastAsia" w:ascii="宋体" w:hAnsi="宋体"/>
                <w:color w:val="auto"/>
                <w:szCs w:val="21"/>
                <w:highlight w:val="none"/>
              </w:rPr>
              <w:t>在</w:t>
            </w:r>
            <w:r>
              <w:rPr>
                <w:rFonts w:hint="eastAsia" w:ascii="宋体" w:hAnsi="宋体"/>
                <w:color w:val="auto"/>
                <w:szCs w:val="21"/>
                <w:highlight w:val="none"/>
                <w:lang w:eastAsia="zh-CN"/>
              </w:rPr>
              <w:t>2026</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4 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13 </w:t>
            </w:r>
            <w:r>
              <w:rPr>
                <w:rFonts w:hint="eastAsia" w:ascii="宋体" w:hAnsi="宋体"/>
                <w:color w:val="auto"/>
                <w:szCs w:val="21"/>
                <w:highlight w:val="none"/>
              </w:rPr>
              <w:t>日</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9</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00</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时（即响应文件开启时间）前不得启封 </w:t>
            </w:r>
          </w:p>
          <w:p w14:paraId="79ED62C2">
            <w:pPr>
              <w:keepNext w:val="0"/>
              <w:keepLines w:val="0"/>
              <w:pageBreakBefore w:val="0"/>
              <w:widowControl w:val="0"/>
              <w:kinsoku/>
              <w:wordWrap/>
              <w:overflowPunct/>
              <w:topLinePunct w:val="0"/>
              <w:autoSpaceDE/>
              <w:bidi w:val="0"/>
              <w:adjustRightInd w:val="0"/>
              <w:snapToGrid w:val="0"/>
              <w:spacing w:line="240" w:lineRule="auto"/>
              <w:textAlignment w:val="auto"/>
              <w:rPr>
                <w:rFonts w:ascii="宋体" w:hAnsi="宋体"/>
                <w:color w:val="auto"/>
                <w:szCs w:val="21"/>
                <w:highlight w:val="none"/>
              </w:rPr>
            </w:pPr>
            <w:r>
              <w:rPr>
                <w:rFonts w:hint="eastAsia" w:ascii="宋体" w:hAnsi="宋体"/>
                <w:color w:val="auto"/>
                <w:szCs w:val="21"/>
                <w:highlight w:val="none"/>
              </w:rPr>
              <w:t>供应商名称：</w:t>
            </w:r>
            <w:r>
              <w:rPr>
                <w:rFonts w:hint="eastAsia" w:ascii="宋体" w:hAnsi="宋体"/>
                <w:color w:val="auto"/>
                <w:szCs w:val="21"/>
                <w:highlight w:val="none"/>
                <w:u w:val="single"/>
              </w:rPr>
              <w:t xml:space="preserve">                        </w:t>
            </w:r>
          </w:p>
        </w:tc>
      </w:tr>
      <w:tr w14:paraId="465B45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97" w:type="dxa"/>
            <w:tcBorders>
              <w:tl2br w:val="nil"/>
              <w:tr2bl w:val="nil"/>
            </w:tcBorders>
            <w:vAlign w:val="center"/>
          </w:tcPr>
          <w:p w14:paraId="7D0E2402">
            <w:pPr>
              <w:keepNext w:val="0"/>
              <w:keepLines w:val="0"/>
              <w:pageBreakBefore w:val="0"/>
              <w:widowControl w:val="0"/>
              <w:kinsoku/>
              <w:wordWrap/>
              <w:overflowPunct/>
              <w:topLinePunct w:val="0"/>
              <w:autoSpaceDE/>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第20.1款</w:t>
            </w:r>
          </w:p>
        </w:tc>
        <w:tc>
          <w:tcPr>
            <w:tcW w:w="1725" w:type="dxa"/>
            <w:tcBorders>
              <w:tl2br w:val="nil"/>
              <w:tr2bl w:val="nil"/>
            </w:tcBorders>
            <w:vAlign w:val="center"/>
          </w:tcPr>
          <w:p w14:paraId="2AE961AF">
            <w:pPr>
              <w:keepNext w:val="0"/>
              <w:keepLines w:val="0"/>
              <w:pageBreakBefore w:val="0"/>
              <w:widowControl w:val="0"/>
              <w:kinsoku/>
              <w:wordWrap/>
              <w:overflowPunct/>
              <w:topLinePunct w:val="0"/>
              <w:autoSpaceDE/>
              <w:bidi w:val="0"/>
              <w:adjustRightInd w:val="0"/>
              <w:snapToGrid w:val="0"/>
              <w:spacing w:line="240" w:lineRule="auto"/>
              <w:textAlignment w:val="auto"/>
              <w:rPr>
                <w:rFonts w:ascii="宋体" w:hAnsi="宋体" w:cs="宋体"/>
                <w:color w:val="auto"/>
                <w:szCs w:val="21"/>
                <w:highlight w:val="none"/>
              </w:rPr>
            </w:pPr>
            <w:r>
              <w:rPr>
                <w:rFonts w:hint="eastAsia" w:ascii="宋体" w:hAnsi="宋体" w:cs="宋体"/>
                <w:color w:val="auto"/>
                <w:szCs w:val="21"/>
                <w:highlight w:val="none"/>
              </w:rPr>
              <w:t>响应文件的递交地点</w:t>
            </w:r>
          </w:p>
        </w:tc>
        <w:tc>
          <w:tcPr>
            <w:tcW w:w="5898" w:type="dxa"/>
            <w:tcBorders>
              <w:tl2br w:val="nil"/>
              <w:tr2bl w:val="nil"/>
            </w:tcBorders>
            <w:vAlign w:val="center"/>
          </w:tcPr>
          <w:p w14:paraId="3FF2594E">
            <w:pPr>
              <w:keepNext w:val="0"/>
              <w:keepLines w:val="0"/>
              <w:pageBreakBefore w:val="0"/>
              <w:widowControl w:val="0"/>
              <w:kinsoku/>
              <w:wordWrap/>
              <w:overflowPunct/>
              <w:topLinePunct w:val="0"/>
              <w:autoSpaceDE/>
              <w:bidi w:val="0"/>
              <w:adjustRightInd w:val="0"/>
              <w:snapToGrid w:val="0"/>
              <w:spacing w:line="240" w:lineRule="auto"/>
              <w:textAlignment w:val="auto"/>
              <w:rPr>
                <w:rFonts w:ascii="宋体" w:hAnsi="宋体"/>
                <w:color w:val="auto"/>
                <w:szCs w:val="21"/>
                <w:highlight w:val="none"/>
              </w:rPr>
            </w:pPr>
            <w:r>
              <w:rPr>
                <w:rFonts w:hint="eastAsia" w:ascii="宋体" w:hAnsi="宋体" w:cs="宋体"/>
                <w:color w:val="auto"/>
                <w:szCs w:val="21"/>
                <w:highlight w:val="none"/>
                <w:lang w:eastAsia="zh-CN"/>
              </w:rPr>
              <w:t>株洲市石峰区云龙大道88号</w:t>
            </w:r>
            <w:r>
              <w:rPr>
                <w:rFonts w:hint="eastAsia" w:ascii="宋体" w:hAnsi="宋体" w:cs="宋体"/>
                <w:color w:val="auto"/>
                <w:szCs w:val="21"/>
                <w:highlight w:val="none"/>
                <w:lang w:val="en-US" w:eastAsia="zh-CN"/>
              </w:rPr>
              <w:t>云发中心</w:t>
            </w:r>
            <w:r>
              <w:rPr>
                <w:rFonts w:hint="eastAsia" w:ascii="宋体" w:hAnsi="宋体" w:cs="宋体"/>
                <w:color w:val="auto"/>
                <w:szCs w:val="21"/>
                <w:highlight w:val="none"/>
                <w:lang w:eastAsia="zh-CN"/>
              </w:rPr>
              <w:t>727室</w:t>
            </w:r>
          </w:p>
        </w:tc>
      </w:tr>
      <w:tr w14:paraId="772927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0" w:type="dxa"/>
            <w:gridSpan w:val="3"/>
            <w:tcBorders>
              <w:tl2br w:val="nil"/>
              <w:tr2bl w:val="nil"/>
            </w:tcBorders>
            <w:vAlign w:val="center"/>
          </w:tcPr>
          <w:p w14:paraId="6CAC994B">
            <w:pPr>
              <w:keepNext w:val="0"/>
              <w:keepLines w:val="0"/>
              <w:pageBreakBefore w:val="0"/>
              <w:widowControl w:val="0"/>
              <w:kinsoku/>
              <w:wordWrap/>
              <w:overflowPunct/>
              <w:topLinePunct w:val="0"/>
              <w:autoSpaceDE/>
              <w:bidi w:val="0"/>
              <w:adjustRightInd w:val="0"/>
              <w:snapToGrid w:val="0"/>
              <w:spacing w:line="240" w:lineRule="auto"/>
              <w:textAlignment w:val="auto"/>
              <w:rPr>
                <w:rFonts w:ascii="宋体" w:hAnsi="宋体"/>
                <w:color w:val="auto"/>
                <w:szCs w:val="21"/>
                <w:highlight w:val="none"/>
              </w:rPr>
            </w:pPr>
            <w:r>
              <w:rPr>
                <w:rFonts w:hint="eastAsia" w:ascii="宋体" w:hAnsi="宋体"/>
                <w:b/>
                <w:color w:val="auto"/>
                <w:szCs w:val="21"/>
                <w:highlight w:val="none"/>
              </w:rPr>
              <w:t>六、成交结果信息公布与供应商质疑</w:t>
            </w:r>
          </w:p>
        </w:tc>
      </w:tr>
      <w:tr w14:paraId="3CDA2F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97" w:type="dxa"/>
            <w:tcBorders>
              <w:tl2br w:val="nil"/>
              <w:tr2bl w:val="nil"/>
            </w:tcBorders>
            <w:vAlign w:val="center"/>
          </w:tcPr>
          <w:p w14:paraId="4FEF9FE6">
            <w:pPr>
              <w:keepNext w:val="0"/>
              <w:keepLines w:val="0"/>
              <w:pageBreakBefore w:val="0"/>
              <w:widowControl w:val="0"/>
              <w:kinsoku/>
              <w:wordWrap/>
              <w:overflowPunct/>
              <w:topLinePunct w:val="0"/>
              <w:autoSpaceDE/>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第24.2款</w:t>
            </w:r>
          </w:p>
        </w:tc>
        <w:tc>
          <w:tcPr>
            <w:tcW w:w="1725" w:type="dxa"/>
            <w:tcBorders>
              <w:tl2br w:val="nil"/>
              <w:tr2bl w:val="nil"/>
            </w:tcBorders>
            <w:vAlign w:val="center"/>
          </w:tcPr>
          <w:p w14:paraId="7DA73CE0">
            <w:pPr>
              <w:keepNext w:val="0"/>
              <w:keepLines w:val="0"/>
              <w:pageBreakBefore w:val="0"/>
              <w:widowControl w:val="0"/>
              <w:kinsoku/>
              <w:wordWrap/>
              <w:overflowPunct/>
              <w:topLinePunct w:val="0"/>
              <w:autoSpaceDE/>
              <w:bidi w:val="0"/>
              <w:adjustRightInd w:val="0"/>
              <w:snapToGrid w:val="0"/>
              <w:spacing w:line="240" w:lineRule="auto"/>
              <w:textAlignment w:val="auto"/>
              <w:rPr>
                <w:rFonts w:ascii="宋体" w:hAnsi="宋体" w:cs="宋体"/>
                <w:color w:val="auto"/>
                <w:szCs w:val="21"/>
                <w:highlight w:val="none"/>
              </w:rPr>
            </w:pPr>
            <w:r>
              <w:rPr>
                <w:rFonts w:hint="eastAsia" w:ascii="宋体" w:hAnsi="宋体" w:cs="宋体"/>
                <w:color w:val="auto"/>
                <w:szCs w:val="21"/>
                <w:highlight w:val="none"/>
              </w:rPr>
              <w:t>成交供应商候选人并列时，确定成交供应商的方式</w:t>
            </w:r>
          </w:p>
        </w:tc>
        <w:tc>
          <w:tcPr>
            <w:tcW w:w="5898" w:type="dxa"/>
            <w:tcBorders>
              <w:tl2br w:val="nil"/>
              <w:tr2bl w:val="nil"/>
            </w:tcBorders>
            <w:vAlign w:val="center"/>
          </w:tcPr>
          <w:p w14:paraId="2CAE15F3">
            <w:pPr>
              <w:keepNext w:val="0"/>
              <w:keepLines w:val="0"/>
              <w:pageBreakBefore w:val="0"/>
              <w:widowControl w:val="0"/>
              <w:kinsoku/>
              <w:wordWrap/>
              <w:overflowPunct/>
              <w:topLinePunct w:val="0"/>
              <w:autoSpaceDE/>
              <w:bidi w:val="0"/>
              <w:adjustRightInd w:val="0"/>
              <w:snapToGrid w:val="0"/>
              <w:spacing w:before="156" w:line="240" w:lineRule="auto"/>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由采购人决定选择方式。</w:t>
            </w:r>
          </w:p>
        </w:tc>
      </w:tr>
      <w:tr w14:paraId="540D98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97" w:type="dxa"/>
            <w:tcBorders>
              <w:tl2br w:val="nil"/>
              <w:tr2bl w:val="nil"/>
            </w:tcBorders>
            <w:vAlign w:val="center"/>
          </w:tcPr>
          <w:p w14:paraId="0E5C2E98">
            <w:pPr>
              <w:keepNext w:val="0"/>
              <w:keepLines w:val="0"/>
              <w:pageBreakBefore w:val="0"/>
              <w:widowControl w:val="0"/>
              <w:kinsoku/>
              <w:wordWrap/>
              <w:overflowPunct/>
              <w:topLinePunct w:val="0"/>
              <w:autoSpaceDE/>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第26.3款</w:t>
            </w:r>
          </w:p>
        </w:tc>
        <w:tc>
          <w:tcPr>
            <w:tcW w:w="1725" w:type="dxa"/>
            <w:tcBorders>
              <w:tl2br w:val="nil"/>
              <w:tr2bl w:val="nil"/>
            </w:tcBorders>
            <w:vAlign w:val="center"/>
          </w:tcPr>
          <w:p w14:paraId="0C548B2E">
            <w:pPr>
              <w:keepNext w:val="0"/>
              <w:keepLines w:val="0"/>
              <w:pageBreakBefore w:val="0"/>
              <w:widowControl w:val="0"/>
              <w:kinsoku/>
              <w:wordWrap/>
              <w:overflowPunct/>
              <w:topLinePunct w:val="0"/>
              <w:autoSpaceDE/>
              <w:bidi w:val="0"/>
              <w:adjustRightInd w:val="0"/>
              <w:snapToGrid w:val="0"/>
              <w:spacing w:line="240" w:lineRule="auto"/>
              <w:textAlignment w:val="auto"/>
              <w:rPr>
                <w:rFonts w:ascii="宋体" w:hAnsi="宋体" w:cs="宋体"/>
                <w:color w:val="auto"/>
                <w:szCs w:val="21"/>
                <w:highlight w:val="none"/>
              </w:rPr>
            </w:pPr>
            <w:r>
              <w:rPr>
                <w:rFonts w:hint="eastAsia" w:ascii="宋体" w:hAnsi="宋体" w:cs="宋体"/>
                <w:color w:val="auto"/>
                <w:szCs w:val="21"/>
                <w:highlight w:val="none"/>
              </w:rPr>
              <w:t>履约担保</w:t>
            </w:r>
          </w:p>
        </w:tc>
        <w:tc>
          <w:tcPr>
            <w:tcW w:w="5898" w:type="dxa"/>
            <w:tcBorders>
              <w:tl2br w:val="nil"/>
              <w:tr2bl w:val="nil"/>
            </w:tcBorders>
            <w:vAlign w:val="center"/>
          </w:tcPr>
          <w:p w14:paraId="5315D7B2">
            <w:pPr>
              <w:keepNext w:val="0"/>
              <w:keepLines w:val="0"/>
              <w:pageBreakBefore w:val="0"/>
              <w:widowControl w:val="0"/>
              <w:kinsoku/>
              <w:wordWrap/>
              <w:overflowPunct/>
              <w:topLinePunct w:val="0"/>
              <w:autoSpaceDE/>
              <w:bidi w:val="0"/>
              <w:adjustRightInd w:val="0"/>
              <w:snapToGrid w:val="0"/>
              <w:spacing w:line="240" w:lineRule="auto"/>
              <w:textAlignment w:val="auto"/>
              <w:rPr>
                <w:rFonts w:ascii="宋体" w:hAnsi="宋体"/>
                <w:color w:val="auto"/>
                <w:szCs w:val="21"/>
                <w:highlight w:val="none"/>
              </w:rPr>
            </w:pPr>
            <w:r>
              <w:rPr>
                <w:rFonts w:hint="eastAsia"/>
                <w:color w:val="auto"/>
                <w:highlight w:val="none"/>
              </w:rPr>
              <w:t>不要求提供</w:t>
            </w:r>
          </w:p>
        </w:tc>
      </w:tr>
      <w:tr w14:paraId="5DC682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0" w:type="dxa"/>
            <w:gridSpan w:val="3"/>
            <w:tcBorders>
              <w:tl2br w:val="nil"/>
              <w:tr2bl w:val="nil"/>
            </w:tcBorders>
            <w:vAlign w:val="center"/>
          </w:tcPr>
          <w:p w14:paraId="07E63878">
            <w:pPr>
              <w:keepNext w:val="0"/>
              <w:keepLines w:val="0"/>
              <w:pageBreakBefore w:val="0"/>
              <w:widowControl w:val="0"/>
              <w:kinsoku/>
              <w:wordWrap/>
              <w:overflowPunct/>
              <w:topLinePunct w:val="0"/>
              <w:autoSpaceDE/>
              <w:bidi w:val="0"/>
              <w:adjustRightInd w:val="0"/>
              <w:snapToGrid w:val="0"/>
              <w:spacing w:line="240" w:lineRule="auto"/>
              <w:textAlignment w:val="auto"/>
              <w:rPr>
                <w:rFonts w:ascii="宋体" w:hAnsi="宋体"/>
                <w:b/>
                <w:color w:val="auto"/>
                <w:szCs w:val="21"/>
                <w:highlight w:val="none"/>
              </w:rPr>
            </w:pPr>
            <w:r>
              <w:rPr>
                <w:rFonts w:hint="eastAsia" w:ascii="宋体" w:hAnsi="宋体"/>
                <w:b/>
                <w:color w:val="auto"/>
                <w:szCs w:val="21"/>
                <w:highlight w:val="none"/>
              </w:rPr>
              <w:t>七、其他规定</w:t>
            </w:r>
          </w:p>
        </w:tc>
      </w:tr>
      <w:tr w14:paraId="3E6199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97" w:type="dxa"/>
            <w:tcBorders>
              <w:tl2br w:val="nil"/>
              <w:tr2bl w:val="nil"/>
            </w:tcBorders>
            <w:vAlign w:val="center"/>
          </w:tcPr>
          <w:p w14:paraId="08D5B6F5">
            <w:pPr>
              <w:keepNext w:val="0"/>
              <w:keepLines w:val="0"/>
              <w:pageBreakBefore w:val="0"/>
              <w:widowControl w:val="0"/>
              <w:kinsoku/>
              <w:wordWrap/>
              <w:overflowPunct/>
              <w:topLinePunct w:val="0"/>
              <w:autoSpaceDE/>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第29.1款</w:t>
            </w:r>
          </w:p>
        </w:tc>
        <w:tc>
          <w:tcPr>
            <w:tcW w:w="1725" w:type="dxa"/>
            <w:tcBorders>
              <w:tl2br w:val="nil"/>
              <w:tr2bl w:val="nil"/>
            </w:tcBorders>
            <w:vAlign w:val="center"/>
          </w:tcPr>
          <w:p w14:paraId="53180B5E">
            <w:pPr>
              <w:keepNext w:val="0"/>
              <w:keepLines w:val="0"/>
              <w:pageBreakBefore w:val="0"/>
              <w:widowControl w:val="0"/>
              <w:kinsoku/>
              <w:wordWrap/>
              <w:overflowPunct/>
              <w:topLinePunct w:val="0"/>
              <w:autoSpaceDE/>
              <w:bidi w:val="0"/>
              <w:adjustRightInd w:val="0"/>
              <w:snapToGrid w:val="0"/>
              <w:spacing w:line="240" w:lineRule="auto"/>
              <w:textAlignment w:val="auto"/>
              <w:rPr>
                <w:rFonts w:ascii="宋体" w:hAnsi="宋体" w:cs="宋体"/>
                <w:color w:val="auto"/>
                <w:szCs w:val="21"/>
                <w:highlight w:val="none"/>
              </w:rPr>
            </w:pPr>
            <w:r>
              <w:rPr>
                <w:rFonts w:hint="eastAsia" w:ascii="宋体" w:hAnsi="宋体" w:cs="宋体"/>
                <w:color w:val="auto"/>
                <w:szCs w:val="21"/>
                <w:highlight w:val="none"/>
              </w:rPr>
              <w:t>其他规定</w:t>
            </w:r>
          </w:p>
        </w:tc>
        <w:tc>
          <w:tcPr>
            <w:tcW w:w="5898" w:type="dxa"/>
            <w:tcBorders>
              <w:tl2br w:val="nil"/>
              <w:tr2bl w:val="nil"/>
            </w:tcBorders>
            <w:vAlign w:val="center"/>
          </w:tcPr>
          <w:p w14:paraId="378CA221">
            <w:pPr>
              <w:keepNext w:val="0"/>
              <w:keepLines w:val="0"/>
              <w:pageBreakBefore w:val="0"/>
              <w:widowControl w:val="0"/>
              <w:kinsoku/>
              <w:wordWrap/>
              <w:overflowPunct/>
              <w:topLinePunct w:val="0"/>
              <w:autoSpaceDE/>
              <w:bidi w:val="0"/>
              <w:adjustRightInd w:val="0"/>
              <w:snapToGrid w:val="0"/>
              <w:spacing w:line="240" w:lineRule="auto"/>
              <w:textAlignment w:val="auto"/>
              <w:rPr>
                <w:color w:val="auto"/>
                <w:highlight w:val="none"/>
              </w:rPr>
            </w:pPr>
            <w:r>
              <w:rPr>
                <w:rFonts w:hint="eastAsia"/>
                <w:color w:val="auto"/>
                <w:highlight w:val="none"/>
              </w:rPr>
              <w:t>获取采购文件的供应商不足三家或者至响应文件递交截止时间提交响应文件的供应商不足三家的，本项目予以废标，由采购人重新组织采购活动。</w:t>
            </w:r>
          </w:p>
          <w:p w14:paraId="102D8491">
            <w:pPr>
              <w:keepNext w:val="0"/>
              <w:keepLines w:val="0"/>
              <w:pageBreakBefore w:val="0"/>
              <w:widowControl w:val="0"/>
              <w:kinsoku/>
              <w:wordWrap/>
              <w:overflowPunct/>
              <w:topLinePunct w:val="0"/>
              <w:autoSpaceDE/>
              <w:bidi w:val="0"/>
              <w:adjustRightInd w:val="0"/>
              <w:snapToGrid w:val="0"/>
              <w:spacing w:line="240" w:lineRule="auto"/>
              <w:textAlignment w:val="auto"/>
              <w:rPr>
                <w:color w:val="auto"/>
                <w:highlight w:val="none"/>
              </w:rPr>
            </w:pPr>
            <w:r>
              <w:rPr>
                <w:rFonts w:hint="eastAsia"/>
                <w:color w:val="auto"/>
                <w:highlight w:val="none"/>
              </w:rPr>
              <w:t>在本项目评审过程中合格供应商只有两家时，由评审小组根据本项目是否依然存在竞争集体决议本项目采购活动是否继续进行。评审小组意见不一致的，以少数服从多数的原则进行票决。</w:t>
            </w:r>
          </w:p>
        </w:tc>
      </w:tr>
      <w:tr w14:paraId="596C64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97" w:type="dxa"/>
            <w:tcBorders>
              <w:tl2br w:val="nil"/>
              <w:tr2bl w:val="nil"/>
            </w:tcBorders>
            <w:vAlign w:val="center"/>
          </w:tcPr>
          <w:p w14:paraId="10F3FD88">
            <w:pPr>
              <w:keepNext w:val="0"/>
              <w:keepLines w:val="0"/>
              <w:pageBreakBefore w:val="0"/>
              <w:widowControl w:val="0"/>
              <w:kinsoku/>
              <w:wordWrap/>
              <w:overflowPunct/>
              <w:topLinePunct w:val="0"/>
              <w:autoSpaceDE/>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第29.1款</w:t>
            </w:r>
          </w:p>
        </w:tc>
        <w:tc>
          <w:tcPr>
            <w:tcW w:w="1725" w:type="dxa"/>
            <w:tcBorders>
              <w:tl2br w:val="nil"/>
              <w:tr2bl w:val="nil"/>
            </w:tcBorders>
            <w:vAlign w:val="center"/>
          </w:tcPr>
          <w:p w14:paraId="30884B2E">
            <w:pPr>
              <w:keepNext w:val="0"/>
              <w:keepLines w:val="0"/>
              <w:pageBreakBefore w:val="0"/>
              <w:widowControl w:val="0"/>
              <w:kinsoku/>
              <w:wordWrap/>
              <w:overflowPunct/>
              <w:topLinePunct w:val="0"/>
              <w:autoSpaceDE/>
              <w:bidi w:val="0"/>
              <w:adjustRightInd w:val="0"/>
              <w:snapToGrid w:val="0"/>
              <w:spacing w:line="240" w:lineRule="auto"/>
              <w:textAlignment w:val="auto"/>
              <w:rPr>
                <w:rFonts w:ascii="宋体" w:hAnsi="宋体" w:cs="宋体"/>
                <w:color w:val="auto"/>
                <w:szCs w:val="21"/>
                <w:highlight w:val="none"/>
              </w:rPr>
            </w:pPr>
            <w:r>
              <w:rPr>
                <w:rFonts w:hint="eastAsia" w:ascii="宋体" w:hAnsi="宋体" w:cs="宋体"/>
                <w:color w:val="auto"/>
                <w:szCs w:val="21"/>
                <w:highlight w:val="none"/>
              </w:rPr>
              <w:t>解释权</w:t>
            </w:r>
          </w:p>
        </w:tc>
        <w:tc>
          <w:tcPr>
            <w:tcW w:w="5898" w:type="dxa"/>
            <w:tcBorders>
              <w:tl2br w:val="nil"/>
              <w:tr2bl w:val="nil"/>
            </w:tcBorders>
            <w:vAlign w:val="center"/>
          </w:tcPr>
          <w:p w14:paraId="3689606F">
            <w:pPr>
              <w:keepNext w:val="0"/>
              <w:keepLines w:val="0"/>
              <w:pageBreakBefore w:val="0"/>
              <w:widowControl w:val="0"/>
              <w:kinsoku/>
              <w:wordWrap/>
              <w:overflowPunct/>
              <w:topLinePunct w:val="0"/>
              <w:autoSpaceDE/>
              <w:bidi w:val="0"/>
              <w:adjustRightInd w:val="0"/>
              <w:snapToGrid w:val="0"/>
              <w:spacing w:line="240" w:lineRule="auto"/>
              <w:textAlignment w:val="auto"/>
              <w:rPr>
                <w:color w:val="auto"/>
                <w:highlight w:val="none"/>
              </w:rPr>
            </w:pPr>
            <w:r>
              <w:rPr>
                <w:rFonts w:hint="eastAsia"/>
                <w:color w:val="auto"/>
                <w:highlight w:val="none"/>
              </w:rPr>
              <w:t>构成本采购文件的各个组成文件应互为解释，互为说明；如有不明确或不一致，构成合同文件组成内容，以合同文件约定内容为准，且以专用合同条款约定的合同文件优先顺序解释；除采购文件中有特别规定外，仅适用于采购活动阶段的规定，按</w:t>
            </w:r>
            <w:r>
              <w:rPr>
                <w:rFonts w:hint="eastAsia"/>
                <w:color w:val="auto"/>
                <w:highlight w:val="none"/>
                <w:lang w:eastAsia="zh-CN"/>
              </w:rPr>
              <w:t>竞谈采购邀请书</w:t>
            </w:r>
            <w:r>
              <w:rPr>
                <w:rFonts w:hint="eastAsia"/>
                <w:color w:val="auto"/>
                <w:highlight w:val="none"/>
              </w:rPr>
              <w:t>（采购邀请书）、供应商须知、评审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bl>
    <w:p w14:paraId="4048804B">
      <w:pPr>
        <w:adjustRightInd w:val="0"/>
        <w:snapToGrid w:val="0"/>
        <w:spacing w:line="360" w:lineRule="auto"/>
        <w:jc w:val="center"/>
        <w:rPr>
          <w:rFonts w:hint="eastAsia" w:ascii="黑体" w:eastAsia="黑体"/>
          <w:b/>
          <w:bCs/>
          <w:color w:val="auto"/>
          <w:sz w:val="28"/>
          <w:szCs w:val="28"/>
          <w:highlight w:val="none"/>
        </w:rPr>
      </w:pPr>
    </w:p>
    <w:p w14:paraId="5090C1BF">
      <w:pPr>
        <w:adjustRightInd w:val="0"/>
        <w:snapToGrid w:val="0"/>
        <w:spacing w:line="360" w:lineRule="auto"/>
        <w:jc w:val="center"/>
        <w:rPr>
          <w:rFonts w:ascii="黑体" w:hAnsi="宋体" w:eastAsia="黑体"/>
          <w:b/>
          <w:bCs/>
          <w:color w:val="auto"/>
          <w:sz w:val="28"/>
          <w:szCs w:val="28"/>
          <w:highlight w:val="none"/>
        </w:rPr>
      </w:pPr>
      <w:r>
        <w:rPr>
          <w:rFonts w:hint="eastAsia" w:ascii="黑体" w:eastAsia="黑体"/>
          <w:b/>
          <w:bCs/>
          <w:color w:val="auto"/>
          <w:sz w:val="28"/>
          <w:szCs w:val="28"/>
          <w:highlight w:val="none"/>
        </w:rPr>
        <w:t>供应商须知</w:t>
      </w:r>
      <w:r>
        <w:rPr>
          <w:rFonts w:hint="eastAsia" w:ascii="黑体" w:hAnsi="宋体" w:eastAsia="黑体"/>
          <w:b/>
          <w:bCs/>
          <w:color w:val="auto"/>
          <w:sz w:val="28"/>
          <w:szCs w:val="28"/>
          <w:highlight w:val="none"/>
        </w:rPr>
        <w:t>正文</w:t>
      </w:r>
    </w:p>
    <w:p w14:paraId="6F9CA718">
      <w:pPr>
        <w:keepNext w:val="0"/>
        <w:keepLines w:val="0"/>
        <w:pageBreakBefore w:val="0"/>
        <w:kinsoku/>
        <w:wordWrap/>
        <w:overflowPunct/>
        <w:topLinePunct w:val="0"/>
        <w:autoSpaceDE/>
        <w:bidi w:val="0"/>
        <w:adjustRightInd w:val="0"/>
        <w:snapToGrid w:val="0"/>
        <w:spacing w:line="240" w:lineRule="auto"/>
        <w:textAlignment w:val="auto"/>
        <w:rPr>
          <w:rFonts w:hint="eastAsia" w:ascii="黑体" w:hAnsi="宋体" w:eastAsia="黑体"/>
          <w:color w:val="auto"/>
          <w:sz w:val="24"/>
          <w:highlight w:val="none"/>
        </w:rPr>
      </w:pPr>
      <w:r>
        <w:rPr>
          <w:rFonts w:hint="eastAsia" w:ascii="黑体" w:hAnsi="宋体" w:eastAsia="黑体"/>
          <w:color w:val="auto"/>
          <w:sz w:val="24"/>
          <w:highlight w:val="none"/>
        </w:rPr>
        <w:t>一、说明</w:t>
      </w:r>
    </w:p>
    <w:p w14:paraId="3D140059">
      <w:pPr>
        <w:keepNext w:val="0"/>
        <w:keepLines w:val="0"/>
        <w:pageBreakBefore w:val="0"/>
        <w:kinsoku/>
        <w:wordWrap/>
        <w:overflowPunct/>
        <w:topLinePunct w:val="0"/>
        <w:autoSpaceDE/>
        <w:bidi w:val="0"/>
        <w:adjustRightInd w:val="0"/>
        <w:snapToGrid w:val="0"/>
        <w:spacing w:line="240" w:lineRule="auto"/>
        <w:textAlignment w:val="auto"/>
        <w:rPr>
          <w:rFonts w:hint="eastAsia" w:ascii="宋体" w:hAnsi="宋体"/>
          <w:b/>
          <w:bCs/>
          <w:color w:val="auto"/>
          <w:szCs w:val="21"/>
          <w:highlight w:val="none"/>
        </w:rPr>
      </w:pPr>
      <w:r>
        <w:rPr>
          <w:rFonts w:hint="eastAsia" w:ascii="宋体" w:hAnsi="宋体"/>
          <w:b/>
          <w:bCs/>
          <w:color w:val="auto"/>
          <w:szCs w:val="21"/>
          <w:highlight w:val="none"/>
        </w:rPr>
        <w:t>1.适用范围</w:t>
      </w:r>
    </w:p>
    <w:p w14:paraId="2378357E">
      <w:pPr>
        <w:keepNext w:val="0"/>
        <w:keepLines w:val="0"/>
        <w:pageBreakBefore w:val="0"/>
        <w:kinsoku/>
        <w:wordWrap/>
        <w:overflowPunct/>
        <w:topLinePunct w:val="0"/>
        <w:autoSpaceDE/>
        <w:bidi w:val="0"/>
        <w:adjustRightInd w:val="0"/>
        <w:snapToGrid w:val="0"/>
        <w:spacing w:line="24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 本</w:t>
      </w:r>
      <w:r>
        <w:rPr>
          <w:rFonts w:hint="eastAsia" w:ascii="宋体" w:hAnsi="宋体"/>
          <w:color w:val="auto"/>
          <w:szCs w:val="21"/>
          <w:highlight w:val="none"/>
          <w:lang w:eastAsia="zh-CN"/>
        </w:rPr>
        <w:t>采购文件</w:t>
      </w:r>
      <w:r>
        <w:rPr>
          <w:rFonts w:hint="eastAsia" w:ascii="宋体" w:hAnsi="宋体"/>
          <w:color w:val="auto"/>
          <w:szCs w:val="21"/>
          <w:highlight w:val="none"/>
        </w:rPr>
        <w:t>仅适用于</w:t>
      </w:r>
      <w:r>
        <w:rPr>
          <w:rFonts w:hint="eastAsia" w:ascii="宋体" w:hAnsi="宋体"/>
          <w:color w:val="auto"/>
          <w:szCs w:val="21"/>
          <w:highlight w:val="none"/>
          <w:lang w:eastAsia="zh-CN"/>
        </w:rPr>
        <w:t>供应商须知</w:t>
      </w:r>
      <w:r>
        <w:rPr>
          <w:rFonts w:hint="eastAsia" w:ascii="宋体" w:hAnsi="宋体"/>
          <w:color w:val="auto"/>
          <w:szCs w:val="21"/>
          <w:highlight w:val="none"/>
        </w:rPr>
        <w:t>前附表(以下简称</w:t>
      </w:r>
      <w:r>
        <w:rPr>
          <w:rFonts w:hint="eastAsia" w:ascii="宋体" w:hAnsi="宋体"/>
          <w:b/>
          <w:color w:val="auto"/>
          <w:szCs w:val="21"/>
          <w:highlight w:val="none"/>
          <w:lang w:eastAsia="zh-CN"/>
        </w:rPr>
        <w:t>供应商须知</w:t>
      </w:r>
      <w:r>
        <w:rPr>
          <w:rFonts w:hint="eastAsia" w:ascii="宋体" w:hAnsi="宋体"/>
          <w:b/>
          <w:color w:val="auto"/>
          <w:szCs w:val="21"/>
          <w:highlight w:val="none"/>
        </w:rPr>
        <w:t>前附表)</w:t>
      </w:r>
      <w:r>
        <w:rPr>
          <w:rFonts w:hint="eastAsia" w:ascii="宋体" w:hAnsi="宋体"/>
          <w:color w:val="auto"/>
          <w:szCs w:val="21"/>
          <w:highlight w:val="none"/>
        </w:rPr>
        <w:t>中所叙述的采购项目。</w:t>
      </w:r>
    </w:p>
    <w:p w14:paraId="021EFEEB">
      <w:pPr>
        <w:keepNext w:val="0"/>
        <w:keepLines w:val="0"/>
        <w:pageBreakBefore w:val="0"/>
        <w:kinsoku/>
        <w:wordWrap/>
        <w:overflowPunct/>
        <w:topLinePunct w:val="0"/>
        <w:autoSpaceDE/>
        <w:bidi w:val="0"/>
        <w:adjustRightInd w:val="0"/>
        <w:snapToGrid w:val="0"/>
        <w:spacing w:line="240" w:lineRule="auto"/>
        <w:textAlignment w:val="auto"/>
        <w:rPr>
          <w:rFonts w:hint="eastAsia" w:ascii="宋体" w:hAnsi="宋体"/>
          <w:b/>
          <w:bCs/>
          <w:color w:val="auto"/>
          <w:szCs w:val="21"/>
          <w:highlight w:val="none"/>
        </w:rPr>
      </w:pPr>
      <w:r>
        <w:rPr>
          <w:rFonts w:hint="eastAsia" w:ascii="宋体" w:hAnsi="宋体"/>
          <w:b/>
          <w:bCs/>
          <w:color w:val="auto"/>
          <w:szCs w:val="21"/>
          <w:highlight w:val="none"/>
        </w:rPr>
        <w:t>2.定义</w:t>
      </w:r>
    </w:p>
    <w:p w14:paraId="766C28E3">
      <w:pPr>
        <w:keepNext w:val="0"/>
        <w:keepLines w:val="0"/>
        <w:pageBreakBefore w:val="0"/>
        <w:kinsoku/>
        <w:wordWrap/>
        <w:overflowPunct/>
        <w:topLinePunct w:val="0"/>
        <w:autoSpaceDE/>
        <w:bidi w:val="0"/>
        <w:adjustRightInd w:val="0"/>
        <w:snapToGrid w:val="0"/>
        <w:spacing w:line="240" w:lineRule="auto"/>
        <w:ind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2.1 “采购人”是指提出并组织实施采购项目的法人或其他组织。</w:t>
      </w:r>
      <w:r>
        <w:rPr>
          <w:rFonts w:hint="eastAsia" w:ascii="宋体" w:hAnsi="宋体"/>
          <w:color w:val="auto"/>
          <w:szCs w:val="21"/>
          <w:highlight w:val="none"/>
        </w:rPr>
        <w:t>本次采购的采购人名称、地址、电话、联系人见</w:t>
      </w:r>
      <w:r>
        <w:rPr>
          <w:rFonts w:hint="eastAsia" w:ascii="宋体" w:hAnsi="宋体"/>
          <w:b/>
          <w:color w:val="auto"/>
          <w:szCs w:val="21"/>
          <w:highlight w:val="none"/>
          <w:lang w:eastAsia="zh-CN"/>
        </w:rPr>
        <w:t>供应商须知前附表</w:t>
      </w:r>
      <w:r>
        <w:rPr>
          <w:rFonts w:hint="eastAsia" w:ascii="宋体" w:hAnsi="宋体"/>
          <w:color w:val="auto"/>
          <w:szCs w:val="21"/>
          <w:highlight w:val="none"/>
        </w:rPr>
        <w:t>。</w:t>
      </w:r>
    </w:p>
    <w:p w14:paraId="05A4B39C">
      <w:pPr>
        <w:keepNext w:val="0"/>
        <w:keepLines w:val="0"/>
        <w:pageBreakBefore w:val="0"/>
        <w:kinsoku/>
        <w:wordWrap/>
        <w:overflowPunct/>
        <w:topLinePunct w:val="0"/>
        <w:autoSpaceDE/>
        <w:bidi w:val="0"/>
        <w:adjustRightInd w:val="0"/>
        <w:snapToGrid w:val="0"/>
        <w:spacing w:line="240" w:lineRule="auto"/>
        <w:ind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2.3 “供应商”是指参加采购活动，有意向为采购人提供工程、货物或服务的法人、其他组织或自然人。</w:t>
      </w:r>
      <w:r>
        <w:rPr>
          <w:rFonts w:hint="eastAsia" w:ascii="宋体" w:hAnsi="宋体"/>
          <w:color w:val="auto"/>
          <w:szCs w:val="21"/>
          <w:highlight w:val="none"/>
        </w:rPr>
        <w:t>本次采购项目</w:t>
      </w:r>
      <w:r>
        <w:rPr>
          <w:rFonts w:hint="eastAsia" w:ascii="宋体" w:hAnsi="宋体" w:cs="宋体"/>
          <w:color w:val="auto"/>
          <w:kern w:val="0"/>
          <w:szCs w:val="21"/>
          <w:highlight w:val="none"/>
        </w:rPr>
        <w:t>邀请</w:t>
      </w:r>
      <w:r>
        <w:rPr>
          <w:rFonts w:hint="eastAsia" w:ascii="宋体" w:hAnsi="宋体"/>
          <w:color w:val="auto"/>
          <w:szCs w:val="21"/>
          <w:highlight w:val="none"/>
        </w:rPr>
        <w:t>的</w:t>
      </w:r>
      <w:r>
        <w:rPr>
          <w:rFonts w:hint="eastAsia" w:ascii="宋体" w:hAnsi="宋体" w:cs="宋体"/>
          <w:color w:val="auto"/>
          <w:kern w:val="0"/>
          <w:szCs w:val="21"/>
          <w:highlight w:val="none"/>
        </w:rPr>
        <w:t>供应商通过</w:t>
      </w:r>
      <w:r>
        <w:rPr>
          <w:rFonts w:hint="eastAsia" w:ascii="宋体" w:hAnsi="宋体"/>
          <w:b/>
          <w:color w:val="auto"/>
          <w:szCs w:val="21"/>
          <w:highlight w:val="none"/>
          <w:lang w:eastAsia="zh-CN"/>
        </w:rPr>
        <w:t>供应商须知前附表</w:t>
      </w:r>
      <w:r>
        <w:rPr>
          <w:rFonts w:hint="eastAsia" w:ascii="宋体" w:hAnsi="宋体"/>
          <w:color w:val="auto"/>
          <w:szCs w:val="21"/>
          <w:highlight w:val="none"/>
        </w:rPr>
        <w:t>所述方式</w:t>
      </w:r>
      <w:r>
        <w:rPr>
          <w:rFonts w:hint="eastAsia" w:ascii="宋体" w:hAnsi="宋体" w:cs="宋体"/>
          <w:bCs/>
          <w:color w:val="auto"/>
          <w:kern w:val="36"/>
          <w:szCs w:val="21"/>
          <w:highlight w:val="none"/>
        </w:rPr>
        <w:t>确定。</w:t>
      </w:r>
      <w:r>
        <w:rPr>
          <w:rFonts w:hint="eastAsia" w:ascii="宋体" w:hAnsi="宋体"/>
          <w:color w:val="auto"/>
          <w:szCs w:val="21"/>
          <w:highlight w:val="none"/>
        </w:rPr>
        <w:t>采购人或</w:t>
      </w:r>
      <w:r>
        <w:rPr>
          <w:rFonts w:hint="eastAsia" w:ascii="宋体" w:hAnsi="宋体" w:cs="宋体"/>
          <w:bCs/>
          <w:color w:val="auto"/>
          <w:kern w:val="36"/>
          <w:szCs w:val="21"/>
          <w:highlight w:val="none"/>
        </w:rPr>
        <w:t>己向其</w:t>
      </w:r>
      <w:r>
        <w:rPr>
          <w:rFonts w:hint="eastAsia" w:ascii="宋体" w:hAnsi="宋体"/>
          <w:color w:val="auto"/>
          <w:szCs w:val="21"/>
          <w:highlight w:val="none"/>
        </w:rPr>
        <w:t>发出</w:t>
      </w:r>
      <w:r>
        <w:rPr>
          <w:rFonts w:hint="eastAsia" w:ascii="宋体" w:hAnsi="宋体"/>
          <w:color w:val="auto"/>
          <w:szCs w:val="21"/>
          <w:highlight w:val="none"/>
          <w:lang w:eastAsia="zh-CN"/>
        </w:rPr>
        <w:t>采购邀请书</w:t>
      </w:r>
      <w:r>
        <w:rPr>
          <w:rFonts w:hint="eastAsia" w:ascii="宋体" w:hAnsi="宋体"/>
          <w:color w:val="auto"/>
          <w:szCs w:val="21"/>
          <w:highlight w:val="none"/>
        </w:rPr>
        <w:t>，</w:t>
      </w:r>
      <w:r>
        <w:rPr>
          <w:rFonts w:hint="eastAsia" w:hAnsi="宋体"/>
          <w:color w:val="auto"/>
          <w:highlight w:val="none"/>
        </w:rPr>
        <w:t>供应商应持</w:t>
      </w:r>
      <w:r>
        <w:rPr>
          <w:rFonts w:hint="eastAsia" w:hAnsi="宋体"/>
          <w:b/>
          <w:color w:val="auto"/>
          <w:highlight w:val="none"/>
          <w:lang w:eastAsia="zh-CN"/>
        </w:rPr>
        <w:t>供应商须知前附表</w:t>
      </w:r>
      <w:r>
        <w:rPr>
          <w:rFonts w:hint="eastAsia" w:hAnsi="宋体"/>
          <w:color w:val="auto"/>
          <w:highlight w:val="none"/>
        </w:rPr>
        <w:t>规定的资料领取或购买</w:t>
      </w:r>
      <w:r>
        <w:rPr>
          <w:rFonts w:hint="eastAsia" w:hAnsi="宋体"/>
          <w:color w:val="auto"/>
          <w:highlight w:val="none"/>
          <w:lang w:eastAsia="zh-CN"/>
        </w:rPr>
        <w:t>采购</w:t>
      </w:r>
      <w:r>
        <w:rPr>
          <w:rFonts w:hint="eastAsia" w:hAnsi="宋体"/>
          <w:color w:val="auto"/>
          <w:highlight w:val="none"/>
        </w:rPr>
        <w:t>文件。</w:t>
      </w:r>
    </w:p>
    <w:p w14:paraId="020E9E18">
      <w:pPr>
        <w:keepNext w:val="0"/>
        <w:keepLines w:val="0"/>
        <w:pageBreakBefore w:val="0"/>
        <w:kinsoku/>
        <w:wordWrap/>
        <w:overflowPunct/>
        <w:topLinePunct w:val="0"/>
        <w:autoSpaceDE/>
        <w:bidi w:val="0"/>
        <w:adjustRightInd w:val="0"/>
        <w:snapToGrid w:val="0"/>
        <w:spacing w:line="240" w:lineRule="auto"/>
        <w:ind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2.4 “评审小组”是指采购活动中，由采购人组建的负责按照采购文件规定的评审方法和标准对响应文件进行评审和比较、向采购人推荐候选成交供应商的工作组。</w:t>
      </w:r>
    </w:p>
    <w:p w14:paraId="5E91ED47">
      <w:pPr>
        <w:keepNext w:val="0"/>
        <w:keepLines w:val="0"/>
        <w:pageBreakBefore w:val="0"/>
        <w:kinsoku/>
        <w:wordWrap/>
        <w:overflowPunct/>
        <w:topLinePunct w:val="0"/>
        <w:autoSpaceDE/>
        <w:bidi w:val="0"/>
        <w:adjustRightInd w:val="0"/>
        <w:snapToGrid w:val="0"/>
        <w:spacing w:line="240" w:lineRule="auto"/>
        <w:textAlignment w:val="auto"/>
        <w:rPr>
          <w:rFonts w:hint="eastAsia" w:ascii="宋体" w:hAnsi="宋体"/>
          <w:b/>
          <w:bCs/>
          <w:color w:val="auto"/>
          <w:szCs w:val="21"/>
          <w:highlight w:val="none"/>
        </w:rPr>
      </w:pPr>
      <w:r>
        <w:rPr>
          <w:rFonts w:hint="eastAsia" w:ascii="宋体" w:hAnsi="宋体"/>
          <w:b/>
          <w:bCs/>
          <w:color w:val="auto"/>
          <w:szCs w:val="21"/>
          <w:highlight w:val="none"/>
        </w:rPr>
        <w:t>3.供应商的资格要求</w:t>
      </w:r>
    </w:p>
    <w:p w14:paraId="6471556E">
      <w:pPr>
        <w:keepNext w:val="0"/>
        <w:keepLines w:val="0"/>
        <w:pageBreakBefore w:val="0"/>
        <w:kinsoku/>
        <w:wordWrap/>
        <w:overflowPunct/>
        <w:topLinePunct w:val="0"/>
        <w:autoSpaceDE/>
        <w:bidi w:val="0"/>
        <w:adjustRightInd w:val="0"/>
        <w:snapToGrid w:val="0"/>
        <w:spacing w:line="24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3.1 供应商应当符合</w:t>
      </w:r>
      <w:r>
        <w:rPr>
          <w:rFonts w:hint="eastAsia" w:ascii="宋体" w:hAnsi="宋体"/>
          <w:b/>
          <w:color w:val="auto"/>
          <w:szCs w:val="21"/>
          <w:highlight w:val="none"/>
          <w:lang w:eastAsia="zh-CN"/>
        </w:rPr>
        <w:t>供应商须知</w:t>
      </w:r>
      <w:r>
        <w:rPr>
          <w:rFonts w:hint="eastAsia" w:ascii="宋体" w:hAnsi="宋体"/>
          <w:b/>
          <w:color w:val="auto"/>
          <w:szCs w:val="21"/>
          <w:highlight w:val="none"/>
        </w:rPr>
        <w:t>前附表</w:t>
      </w:r>
      <w:r>
        <w:rPr>
          <w:rFonts w:hint="eastAsia" w:ascii="宋体" w:hAnsi="宋体"/>
          <w:color w:val="auto"/>
          <w:szCs w:val="21"/>
          <w:highlight w:val="none"/>
        </w:rPr>
        <w:t>中规定的下列资格条件要求；</w:t>
      </w:r>
    </w:p>
    <w:p w14:paraId="14A88010">
      <w:pPr>
        <w:keepNext w:val="0"/>
        <w:keepLines w:val="0"/>
        <w:pageBreakBefore w:val="0"/>
        <w:kinsoku/>
        <w:wordWrap/>
        <w:overflowPunct/>
        <w:topLinePunct w:val="0"/>
        <w:autoSpaceDE/>
        <w:bidi w:val="0"/>
        <w:adjustRightInd w:val="0"/>
        <w:snapToGrid w:val="0"/>
        <w:spacing w:line="24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3.2 供应商不得存在下列情形之一：</w:t>
      </w:r>
    </w:p>
    <w:p w14:paraId="5F9F9834">
      <w:pPr>
        <w:keepNext w:val="0"/>
        <w:keepLines w:val="0"/>
        <w:pageBreakBefore w:val="0"/>
        <w:kinsoku/>
        <w:wordWrap/>
        <w:overflowPunct/>
        <w:topLinePunct w:val="0"/>
        <w:autoSpaceDE/>
        <w:bidi w:val="0"/>
        <w:adjustRightInd w:val="0"/>
        <w:snapToGrid w:val="0"/>
        <w:spacing w:line="24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（l）与采购人、存在</w:t>
      </w:r>
      <w:r>
        <w:rPr>
          <w:rFonts w:hint="eastAsia" w:ascii="宋体" w:hAnsi="宋体"/>
          <w:bCs/>
          <w:color w:val="auto"/>
          <w:szCs w:val="21"/>
          <w:highlight w:val="none"/>
        </w:rPr>
        <w:t>隶属关系或者其他利害关系</w:t>
      </w:r>
      <w:r>
        <w:rPr>
          <w:rFonts w:hint="eastAsia" w:ascii="宋体" w:hAnsi="宋体"/>
          <w:color w:val="auto"/>
          <w:szCs w:val="21"/>
          <w:highlight w:val="none"/>
        </w:rPr>
        <w:t>。</w:t>
      </w:r>
    </w:p>
    <w:p w14:paraId="61D0D63D">
      <w:pPr>
        <w:keepNext w:val="0"/>
        <w:keepLines w:val="0"/>
        <w:pageBreakBefore w:val="0"/>
        <w:kinsoku/>
        <w:wordWrap/>
        <w:overflowPunct/>
        <w:topLinePunct w:val="0"/>
        <w:autoSpaceDE/>
        <w:bidi w:val="0"/>
        <w:adjustRightInd w:val="0"/>
        <w:snapToGrid w:val="0"/>
        <w:spacing w:line="24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（2）与其他供应商的法定代表人（或者负责人）为同一人，或者与其他供应商存在控股、关联关系。</w:t>
      </w:r>
    </w:p>
    <w:p w14:paraId="3A666460">
      <w:pPr>
        <w:keepNext w:val="0"/>
        <w:keepLines w:val="0"/>
        <w:pageBreakBefore w:val="0"/>
        <w:kinsoku/>
        <w:wordWrap/>
        <w:overflowPunct/>
        <w:topLinePunct w:val="0"/>
        <w:autoSpaceDE/>
        <w:bidi w:val="0"/>
        <w:adjustRightInd w:val="0"/>
        <w:snapToGrid w:val="0"/>
        <w:spacing w:line="24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eastAsia="zh-CN"/>
        </w:rPr>
        <w:t>因违法经营受到刑事处罚或者责令停产停业、吊销许可证或者执照、较大数额罚款等行政处罚</w:t>
      </w:r>
      <w:r>
        <w:rPr>
          <w:rFonts w:hint="eastAsia" w:ascii="宋体" w:hAnsi="宋体"/>
          <w:color w:val="auto"/>
          <w:szCs w:val="21"/>
          <w:highlight w:val="none"/>
        </w:rPr>
        <w:t>。</w:t>
      </w:r>
    </w:p>
    <w:p w14:paraId="66351234">
      <w:pPr>
        <w:keepNext w:val="0"/>
        <w:keepLines w:val="0"/>
        <w:pageBreakBefore w:val="0"/>
        <w:kinsoku/>
        <w:wordWrap/>
        <w:overflowPunct/>
        <w:topLinePunct w:val="0"/>
        <w:autoSpaceDE/>
        <w:bidi w:val="0"/>
        <w:adjustRightInd w:val="0"/>
        <w:snapToGrid w:val="0"/>
        <w:spacing w:line="240" w:lineRule="auto"/>
        <w:textAlignment w:val="auto"/>
        <w:rPr>
          <w:rFonts w:hint="eastAsia" w:ascii="宋体" w:hAnsi="宋体"/>
          <w:b/>
          <w:bCs/>
          <w:color w:val="auto"/>
          <w:szCs w:val="21"/>
          <w:highlight w:val="none"/>
        </w:rPr>
      </w:pPr>
      <w:r>
        <w:rPr>
          <w:rFonts w:hint="eastAsia" w:ascii="宋体" w:hAnsi="宋体"/>
          <w:b/>
          <w:bCs/>
          <w:color w:val="auto"/>
          <w:szCs w:val="21"/>
          <w:highlight w:val="none"/>
        </w:rPr>
        <w:t>4.参与</w:t>
      </w:r>
      <w:r>
        <w:rPr>
          <w:rFonts w:hint="eastAsia" w:ascii="宋体" w:hAnsi="宋体"/>
          <w:b/>
          <w:bCs/>
          <w:color w:val="auto"/>
          <w:szCs w:val="21"/>
          <w:highlight w:val="none"/>
          <w:lang w:eastAsia="zh-CN"/>
        </w:rPr>
        <w:t>采购活动</w:t>
      </w:r>
      <w:r>
        <w:rPr>
          <w:rFonts w:hint="eastAsia" w:ascii="宋体" w:hAnsi="宋体"/>
          <w:b/>
          <w:bCs/>
          <w:color w:val="auto"/>
          <w:szCs w:val="21"/>
          <w:highlight w:val="none"/>
        </w:rPr>
        <w:t xml:space="preserve">的费用 </w:t>
      </w:r>
    </w:p>
    <w:p w14:paraId="1D0895D8">
      <w:pPr>
        <w:keepNext w:val="0"/>
        <w:keepLines w:val="0"/>
        <w:pageBreakBefore w:val="0"/>
        <w:kinsoku/>
        <w:wordWrap/>
        <w:overflowPunct/>
        <w:topLinePunct w:val="0"/>
        <w:autoSpaceDE/>
        <w:bidi w:val="0"/>
        <w:adjustRightInd w:val="0"/>
        <w:snapToGrid w:val="0"/>
        <w:spacing w:line="24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4.1 无论</w:t>
      </w:r>
      <w:r>
        <w:rPr>
          <w:rFonts w:hint="eastAsia" w:ascii="宋体" w:hAnsi="宋体"/>
          <w:color w:val="auto"/>
          <w:szCs w:val="21"/>
          <w:highlight w:val="none"/>
          <w:lang w:eastAsia="zh-CN"/>
        </w:rPr>
        <w:t>采购</w:t>
      </w:r>
      <w:r>
        <w:rPr>
          <w:rFonts w:hint="eastAsia" w:ascii="宋体" w:hAnsi="宋体"/>
          <w:color w:val="auto"/>
          <w:szCs w:val="21"/>
          <w:highlight w:val="none"/>
        </w:rPr>
        <w:t>的结果如何，供应商应自行承担所有与采购活动有关的全部费用。</w:t>
      </w:r>
    </w:p>
    <w:p w14:paraId="2C0EB83C">
      <w:pPr>
        <w:pStyle w:val="13"/>
        <w:keepNext w:val="0"/>
        <w:keepLines w:val="0"/>
        <w:pageBreakBefore w:val="0"/>
        <w:kinsoku/>
        <w:wordWrap/>
        <w:overflowPunct/>
        <w:topLinePunct w:val="0"/>
        <w:autoSpaceDE/>
        <w:bidi w:val="0"/>
        <w:adjustRightInd w:val="0"/>
        <w:snapToGrid w:val="0"/>
        <w:spacing w:line="240" w:lineRule="auto"/>
        <w:textAlignment w:val="auto"/>
        <w:rPr>
          <w:rFonts w:hint="eastAsia" w:hAnsi="宋体" w:eastAsia="宋体"/>
          <w:b/>
          <w:bCs/>
          <w:color w:val="auto"/>
          <w:highlight w:val="none"/>
          <w:lang w:eastAsia="zh-CN"/>
        </w:rPr>
      </w:pPr>
      <w:r>
        <w:rPr>
          <w:rFonts w:hint="eastAsia" w:hAnsi="宋体"/>
          <w:b/>
          <w:color w:val="auto"/>
          <w:highlight w:val="none"/>
        </w:rPr>
        <w:t>5．</w:t>
      </w:r>
      <w:r>
        <w:rPr>
          <w:rFonts w:hint="eastAsia" w:hAnsi="宋体"/>
          <w:b/>
          <w:bCs/>
          <w:color w:val="auto"/>
          <w:highlight w:val="none"/>
        </w:rPr>
        <w:t>授权</w:t>
      </w:r>
    </w:p>
    <w:p w14:paraId="6B01DE4A">
      <w:pPr>
        <w:pStyle w:val="13"/>
        <w:keepNext w:val="0"/>
        <w:keepLines w:val="0"/>
        <w:pageBreakBefore w:val="0"/>
        <w:kinsoku/>
        <w:wordWrap/>
        <w:overflowPunct/>
        <w:topLinePunct w:val="0"/>
        <w:autoSpaceDE/>
        <w:bidi w:val="0"/>
        <w:adjustRightInd w:val="0"/>
        <w:snapToGrid w:val="0"/>
        <w:spacing w:line="240" w:lineRule="auto"/>
        <w:ind w:firstLine="420" w:firstLineChars="200"/>
        <w:textAlignment w:val="auto"/>
        <w:rPr>
          <w:rFonts w:hint="eastAsia" w:hAnsi="宋体"/>
          <w:color w:val="auto"/>
          <w:highlight w:val="none"/>
        </w:rPr>
      </w:pPr>
      <w:r>
        <w:rPr>
          <w:rFonts w:hint="eastAsia" w:hAnsi="宋体"/>
          <w:color w:val="auto"/>
          <w:highlight w:val="none"/>
        </w:rPr>
        <w:t>5.1供应商代表为供应商法定代表人的，应持有法定代表人身份证明。供应商代表不是供应商法定代表人的，应持有法定代表人授权书，并附法定代表人身份证明。</w:t>
      </w:r>
    </w:p>
    <w:p w14:paraId="2934799B">
      <w:pPr>
        <w:pStyle w:val="13"/>
        <w:keepNext w:val="0"/>
        <w:keepLines w:val="0"/>
        <w:pageBreakBefore w:val="0"/>
        <w:kinsoku/>
        <w:wordWrap/>
        <w:overflowPunct/>
        <w:topLinePunct w:val="0"/>
        <w:autoSpaceDE/>
        <w:bidi w:val="0"/>
        <w:adjustRightInd w:val="0"/>
        <w:snapToGrid w:val="0"/>
        <w:spacing w:line="240" w:lineRule="auto"/>
        <w:textAlignment w:val="auto"/>
        <w:rPr>
          <w:rFonts w:hint="eastAsia" w:hAnsi="宋体"/>
          <w:b/>
          <w:color w:val="auto"/>
          <w:highlight w:val="none"/>
        </w:rPr>
      </w:pPr>
      <w:r>
        <w:rPr>
          <w:rFonts w:hint="eastAsia" w:hAnsi="宋体"/>
          <w:b/>
          <w:color w:val="auto"/>
          <w:highlight w:val="none"/>
        </w:rPr>
        <w:t>6．联合体形式</w:t>
      </w:r>
    </w:p>
    <w:p w14:paraId="25163DD9">
      <w:pPr>
        <w:pStyle w:val="13"/>
        <w:keepNext w:val="0"/>
        <w:keepLines w:val="0"/>
        <w:pageBreakBefore w:val="0"/>
        <w:kinsoku/>
        <w:wordWrap/>
        <w:overflowPunct/>
        <w:topLinePunct w:val="0"/>
        <w:autoSpaceDE/>
        <w:bidi w:val="0"/>
        <w:adjustRightInd w:val="0"/>
        <w:snapToGrid w:val="0"/>
        <w:spacing w:line="240" w:lineRule="auto"/>
        <w:ind w:firstLine="420" w:firstLineChars="200"/>
        <w:textAlignment w:val="auto"/>
        <w:rPr>
          <w:rFonts w:hint="eastAsia" w:hAnsi="宋体"/>
          <w:color w:val="auto"/>
          <w:highlight w:val="none"/>
        </w:rPr>
      </w:pPr>
      <w:r>
        <w:rPr>
          <w:rFonts w:hint="eastAsia" w:hAnsi="宋体"/>
          <w:color w:val="auto"/>
          <w:highlight w:val="none"/>
        </w:rPr>
        <w:t>6.1除</w:t>
      </w:r>
      <w:r>
        <w:rPr>
          <w:rFonts w:hint="eastAsia" w:hAnsi="宋体"/>
          <w:b/>
          <w:color w:val="auto"/>
          <w:highlight w:val="none"/>
          <w:lang w:eastAsia="zh-CN"/>
        </w:rPr>
        <w:t>供应商须知</w:t>
      </w:r>
      <w:r>
        <w:rPr>
          <w:rFonts w:hint="eastAsia" w:hAnsi="宋体"/>
          <w:b/>
          <w:color w:val="auto"/>
          <w:highlight w:val="none"/>
        </w:rPr>
        <w:t>前附表</w:t>
      </w:r>
      <w:r>
        <w:rPr>
          <w:rFonts w:hint="eastAsia" w:hAnsi="宋体"/>
          <w:color w:val="auto"/>
          <w:highlight w:val="none"/>
        </w:rPr>
        <w:t>中另有规定，本次采购</w:t>
      </w:r>
      <w:r>
        <w:rPr>
          <w:rFonts w:hint="eastAsia" w:hAnsi="宋体"/>
          <w:color w:val="auto"/>
          <w:highlight w:val="none"/>
          <w:lang w:eastAsia="zh-CN"/>
        </w:rPr>
        <w:t>活动</w:t>
      </w:r>
      <w:r>
        <w:rPr>
          <w:rFonts w:hint="eastAsia" w:hAnsi="宋体"/>
          <w:color w:val="auto"/>
          <w:highlight w:val="none"/>
        </w:rPr>
        <w:t>不接受为联合体形式的供应商。</w:t>
      </w:r>
    </w:p>
    <w:p w14:paraId="196C89B7">
      <w:pPr>
        <w:keepNext w:val="0"/>
        <w:keepLines w:val="0"/>
        <w:pageBreakBefore w:val="0"/>
        <w:kinsoku/>
        <w:wordWrap/>
        <w:overflowPunct/>
        <w:topLinePunct w:val="0"/>
        <w:autoSpaceDE/>
        <w:bidi w:val="0"/>
        <w:adjustRightInd w:val="0"/>
        <w:snapToGrid w:val="0"/>
        <w:spacing w:line="240" w:lineRule="auto"/>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6.2供应商</w:t>
      </w:r>
      <w:r>
        <w:rPr>
          <w:rFonts w:hint="eastAsia" w:hAnsi="宋体"/>
          <w:color w:val="auto"/>
          <w:highlight w:val="none"/>
        </w:rPr>
        <w:t>为联合体形式的</w:t>
      </w:r>
      <w:r>
        <w:rPr>
          <w:rFonts w:hint="eastAsia" w:ascii="宋体" w:hAnsi="宋体"/>
          <w:color w:val="auto"/>
          <w:szCs w:val="21"/>
          <w:highlight w:val="none"/>
        </w:rPr>
        <w:t>，除应符合本章第3条规定外，还应遵守以下规定：</w:t>
      </w:r>
    </w:p>
    <w:p w14:paraId="53F5A445">
      <w:pPr>
        <w:keepNext w:val="0"/>
        <w:keepLines w:val="0"/>
        <w:pageBreakBefore w:val="0"/>
        <w:kinsoku/>
        <w:wordWrap/>
        <w:overflowPunct/>
        <w:topLinePunct w:val="0"/>
        <w:autoSpaceDE/>
        <w:bidi w:val="0"/>
        <w:adjustRightInd w:val="0"/>
        <w:snapToGrid w:val="0"/>
        <w:spacing w:line="240" w:lineRule="auto"/>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（l）联合体各方必须签订联合体协议书，明确联合体牵头人和各方的义务、工作、合同工作量比例；</w:t>
      </w:r>
    </w:p>
    <w:p w14:paraId="7FF803C5">
      <w:pPr>
        <w:keepNext w:val="0"/>
        <w:keepLines w:val="0"/>
        <w:pageBreakBefore w:val="0"/>
        <w:kinsoku/>
        <w:wordWrap/>
        <w:overflowPunct/>
        <w:topLinePunct w:val="0"/>
        <w:autoSpaceDE/>
        <w:bidi w:val="0"/>
        <w:adjustRightInd w:val="0"/>
        <w:snapToGrid w:val="0"/>
        <w:spacing w:line="240" w:lineRule="auto"/>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（2）联合体各方均应当符合本章第3.1</w:t>
      </w:r>
      <w:r>
        <w:rPr>
          <w:rFonts w:hint="eastAsia" w:ascii="宋体" w:hAnsi="宋体" w:cs="宋体"/>
          <w:color w:val="auto"/>
          <w:kern w:val="0"/>
          <w:szCs w:val="21"/>
          <w:highlight w:val="none"/>
          <w:lang w:val="zh-CN"/>
        </w:rPr>
        <w:t>款</w:t>
      </w:r>
      <w:r>
        <w:rPr>
          <w:rFonts w:hint="eastAsia" w:ascii="宋体" w:hAnsi="宋体"/>
          <w:color w:val="auto"/>
          <w:szCs w:val="21"/>
          <w:highlight w:val="none"/>
        </w:rPr>
        <w:t>规定的供应商基本资格条件；</w:t>
      </w:r>
    </w:p>
    <w:p w14:paraId="470DC0F7">
      <w:pPr>
        <w:keepNext w:val="0"/>
        <w:keepLines w:val="0"/>
        <w:pageBreakBefore w:val="0"/>
        <w:kinsoku/>
        <w:wordWrap/>
        <w:overflowPunct/>
        <w:topLinePunct w:val="0"/>
        <w:autoSpaceDE/>
        <w:bidi w:val="0"/>
        <w:adjustRightInd w:val="0"/>
        <w:snapToGrid w:val="0"/>
        <w:spacing w:line="240" w:lineRule="auto"/>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olor w:val="auto"/>
          <w:highlight w:val="none"/>
        </w:rPr>
        <w:t>除</w:t>
      </w:r>
      <w:r>
        <w:rPr>
          <w:rFonts w:hint="eastAsia" w:ascii="宋体" w:hAnsi="宋体"/>
          <w:b/>
          <w:color w:val="auto"/>
          <w:highlight w:val="none"/>
          <w:lang w:eastAsia="zh-CN"/>
        </w:rPr>
        <w:t>供应商须知</w:t>
      </w:r>
      <w:r>
        <w:rPr>
          <w:rFonts w:hint="eastAsia" w:ascii="宋体" w:hAnsi="宋体"/>
          <w:b/>
          <w:color w:val="auto"/>
          <w:highlight w:val="none"/>
        </w:rPr>
        <w:t>前附表</w:t>
      </w:r>
      <w:r>
        <w:rPr>
          <w:rFonts w:hint="eastAsia" w:ascii="宋体" w:hAnsi="宋体"/>
          <w:color w:val="auto"/>
          <w:highlight w:val="none"/>
        </w:rPr>
        <w:t>中另有规定，</w:t>
      </w:r>
      <w:r>
        <w:rPr>
          <w:rFonts w:hint="eastAsia" w:ascii="宋体" w:hAnsi="宋体"/>
          <w:color w:val="auto"/>
          <w:szCs w:val="21"/>
          <w:highlight w:val="none"/>
        </w:rPr>
        <w:t>联合体各方中至少有一方应当符合本章第3.1</w:t>
      </w:r>
      <w:r>
        <w:rPr>
          <w:rFonts w:hint="eastAsia" w:ascii="宋体" w:hAnsi="宋体" w:cs="宋体"/>
          <w:color w:val="auto"/>
          <w:kern w:val="0"/>
          <w:szCs w:val="21"/>
          <w:highlight w:val="none"/>
          <w:lang w:val="zh-CN"/>
        </w:rPr>
        <w:t>款</w:t>
      </w:r>
      <w:r>
        <w:rPr>
          <w:rFonts w:hint="eastAsia" w:ascii="宋体" w:hAnsi="宋体"/>
          <w:color w:val="auto"/>
          <w:szCs w:val="21"/>
          <w:highlight w:val="none"/>
        </w:rPr>
        <w:t>规定的供应商特定资格条件；</w:t>
      </w:r>
    </w:p>
    <w:p w14:paraId="29676048">
      <w:pPr>
        <w:keepNext w:val="0"/>
        <w:keepLines w:val="0"/>
        <w:pageBreakBefore w:val="0"/>
        <w:kinsoku/>
        <w:wordWrap/>
        <w:overflowPunct/>
        <w:topLinePunct w:val="0"/>
        <w:autoSpaceDE/>
        <w:bidi w:val="0"/>
        <w:adjustRightInd w:val="0"/>
        <w:snapToGrid w:val="0"/>
        <w:spacing w:line="240" w:lineRule="auto"/>
        <w:ind w:firstLine="420" w:firstLineChars="200"/>
        <w:jc w:val="left"/>
        <w:textAlignment w:val="auto"/>
        <w:rPr>
          <w:rFonts w:hint="eastAsia" w:ascii="宋体" w:hAnsi="宋体" w:cs="宋体"/>
          <w:color w:val="auto"/>
          <w:kern w:val="0"/>
          <w:szCs w:val="21"/>
          <w:highlight w:val="none"/>
          <w:lang w:val="zh-CN"/>
        </w:rPr>
      </w:pPr>
      <w:r>
        <w:rPr>
          <w:rFonts w:hint="eastAsia" w:ascii="宋体" w:hAnsi="宋体"/>
          <w:color w:val="auto"/>
          <w:szCs w:val="21"/>
          <w:highlight w:val="none"/>
        </w:rPr>
        <w:t>（4）</w:t>
      </w:r>
      <w:r>
        <w:rPr>
          <w:rFonts w:hint="eastAsia" w:ascii="宋体" w:hAnsi="宋体" w:cs="宋体"/>
          <w:color w:val="auto"/>
          <w:kern w:val="0"/>
          <w:szCs w:val="21"/>
          <w:highlight w:val="none"/>
          <w:lang w:val="zh-CN"/>
        </w:rPr>
        <w:t>联合体各方不得再单独或与其他供应商组成新的联合体参加同一项目的采购活动。</w:t>
      </w:r>
    </w:p>
    <w:p w14:paraId="40131DC7">
      <w:pPr>
        <w:keepNext w:val="0"/>
        <w:keepLines w:val="0"/>
        <w:pageBreakBefore w:val="0"/>
        <w:kinsoku/>
        <w:wordWrap/>
        <w:overflowPunct/>
        <w:topLinePunct w:val="0"/>
        <w:autoSpaceDE/>
        <w:bidi w:val="0"/>
        <w:adjustRightInd w:val="0"/>
        <w:snapToGrid w:val="0"/>
        <w:spacing w:line="240" w:lineRule="auto"/>
        <w:textAlignment w:val="auto"/>
        <w:rPr>
          <w:rFonts w:hint="eastAsia" w:ascii="宋体" w:hAnsi="宋体"/>
          <w:b/>
          <w:color w:val="auto"/>
          <w:szCs w:val="21"/>
          <w:highlight w:val="none"/>
        </w:rPr>
      </w:pPr>
      <w:r>
        <w:rPr>
          <w:rFonts w:hint="eastAsia" w:ascii="宋体" w:hAnsi="宋体"/>
          <w:b/>
          <w:color w:val="auto"/>
          <w:szCs w:val="21"/>
          <w:highlight w:val="none"/>
        </w:rPr>
        <w:t>7.现场勘察</w:t>
      </w:r>
    </w:p>
    <w:p w14:paraId="7DFCF85E">
      <w:pPr>
        <w:keepNext w:val="0"/>
        <w:keepLines w:val="0"/>
        <w:pageBreakBefore w:val="0"/>
        <w:kinsoku/>
        <w:wordWrap/>
        <w:overflowPunct/>
        <w:topLinePunct w:val="0"/>
        <w:autoSpaceDE/>
        <w:bidi w:val="0"/>
        <w:adjustRightInd w:val="0"/>
        <w:snapToGrid w:val="0"/>
        <w:spacing w:line="24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7.1供应商应按</w:t>
      </w:r>
      <w:r>
        <w:rPr>
          <w:rFonts w:hint="eastAsia" w:hAnsi="宋体"/>
          <w:b/>
          <w:color w:val="auto"/>
          <w:highlight w:val="none"/>
          <w:lang w:eastAsia="zh-CN"/>
        </w:rPr>
        <w:t>供应商须知</w:t>
      </w:r>
      <w:r>
        <w:rPr>
          <w:rFonts w:hint="eastAsia" w:hAnsi="宋体"/>
          <w:b/>
          <w:color w:val="auto"/>
          <w:highlight w:val="none"/>
        </w:rPr>
        <w:t>前附表</w:t>
      </w:r>
      <w:r>
        <w:rPr>
          <w:rFonts w:hint="eastAsia" w:hAnsi="宋体"/>
          <w:color w:val="auto"/>
          <w:highlight w:val="none"/>
        </w:rPr>
        <w:t>中规定</w:t>
      </w:r>
      <w:r>
        <w:rPr>
          <w:rFonts w:hint="eastAsia" w:ascii="宋体" w:hAnsi="宋体"/>
          <w:color w:val="auto"/>
          <w:szCs w:val="21"/>
          <w:highlight w:val="none"/>
        </w:rPr>
        <w:t>对采购项目现场和周围环境的现场考察。</w:t>
      </w:r>
    </w:p>
    <w:p w14:paraId="1B2B42C2">
      <w:pPr>
        <w:keepNext w:val="0"/>
        <w:keepLines w:val="0"/>
        <w:pageBreakBefore w:val="0"/>
        <w:kinsoku/>
        <w:wordWrap/>
        <w:overflowPunct/>
        <w:topLinePunct w:val="0"/>
        <w:autoSpaceDE/>
        <w:bidi w:val="0"/>
        <w:adjustRightInd w:val="0"/>
        <w:snapToGrid w:val="0"/>
        <w:spacing w:line="24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7.2勘察现场的费用由供应商自己承担，勘察期间所发生的人身伤害及财产损失由供应商自己负责。</w:t>
      </w:r>
    </w:p>
    <w:p w14:paraId="79643E7F">
      <w:pPr>
        <w:keepNext w:val="0"/>
        <w:keepLines w:val="0"/>
        <w:pageBreakBefore w:val="0"/>
        <w:kinsoku/>
        <w:wordWrap/>
        <w:overflowPunct/>
        <w:topLinePunct w:val="0"/>
        <w:autoSpaceDE/>
        <w:bidi w:val="0"/>
        <w:adjustRightInd w:val="0"/>
        <w:snapToGrid w:val="0"/>
        <w:spacing w:line="240" w:lineRule="auto"/>
        <w:ind w:firstLine="420" w:firstLineChars="200"/>
        <w:jc w:val="left"/>
        <w:textAlignment w:val="auto"/>
        <w:rPr>
          <w:rFonts w:hint="eastAsia" w:ascii="宋体" w:hAnsi="宋体"/>
          <w:b/>
          <w:color w:val="auto"/>
          <w:szCs w:val="21"/>
          <w:highlight w:val="none"/>
        </w:rPr>
      </w:pPr>
      <w:r>
        <w:rPr>
          <w:rFonts w:hint="eastAsia" w:ascii="宋体" w:hAnsi="宋体"/>
          <w:color w:val="auto"/>
          <w:szCs w:val="21"/>
          <w:highlight w:val="none"/>
        </w:rPr>
        <w:t>7.3采购人不对供应商据此而做出的推论、理解和结论负责。一旦成交，供应商不得以任何借口，提出额外补偿，或延长合同期限的要求。</w:t>
      </w:r>
    </w:p>
    <w:p w14:paraId="38D97866">
      <w:pPr>
        <w:keepNext w:val="0"/>
        <w:keepLines w:val="0"/>
        <w:pageBreakBefore w:val="0"/>
        <w:kinsoku/>
        <w:wordWrap/>
        <w:overflowPunct/>
        <w:topLinePunct w:val="0"/>
        <w:autoSpaceDE/>
        <w:bidi w:val="0"/>
        <w:adjustRightInd w:val="0"/>
        <w:snapToGrid w:val="0"/>
        <w:spacing w:line="240" w:lineRule="auto"/>
        <w:ind w:left="902" w:hanging="902" w:hangingChars="376"/>
        <w:textAlignment w:val="auto"/>
        <w:rPr>
          <w:rFonts w:hint="eastAsia" w:ascii="黑体" w:hAnsi="宋体" w:eastAsia="黑体"/>
          <w:color w:val="auto"/>
          <w:sz w:val="24"/>
          <w:highlight w:val="none"/>
        </w:rPr>
      </w:pPr>
      <w:r>
        <w:rPr>
          <w:rFonts w:hint="eastAsia" w:ascii="黑体" w:hAnsi="宋体" w:eastAsia="黑体"/>
          <w:color w:val="auto"/>
          <w:sz w:val="24"/>
          <w:highlight w:val="none"/>
        </w:rPr>
        <w:t>二、</w:t>
      </w:r>
      <w:r>
        <w:rPr>
          <w:rFonts w:hint="eastAsia" w:ascii="黑体" w:hAnsi="宋体" w:eastAsia="黑体"/>
          <w:color w:val="auto"/>
          <w:sz w:val="24"/>
          <w:highlight w:val="none"/>
          <w:lang w:eastAsia="zh-CN"/>
        </w:rPr>
        <w:t>采购</w:t>
      </w:r>
      <w:r>
        <w:rPr>
          <w:rFonts w:hint="eastAsia" w:ascii="黑体" w:hAnsi="宋体" w:eastAsia="黑体"/>
          <w:color w:val="auto"/>
          <w:sz w:val="24"/>
          <w:highlight w:val="none"/>
        </w:rPr>
        <w:t>文件</w:t>
      </w:r>
    </w:p>
    <w:p w14:paraId="0ECBE3BA">
      <w:pPr>
        <w:keepNext w:val="0"/>
        <w:keepLines w:val="0"/>
        <w:pageBreakBefore w:val="0"/>
        <w:kinsoku/>
        <w:wordWrap/>
        <w:overflowPunct/>
        <w:topLinePunct w:val="0"/>
        <w:autoSpaceDE/>
        <w:bidi w:val="0"/>
        <w:adjustRightInd w:val="0"/>
        <w:snapToGrid w:val="0"/>
        <w:spacing w:line="240" w:lineRule="auto"/>
        <w:textAlignment w:val="auto"/>
        <w:rPr>
          <w:rFonts w:hint="eastAsia" w:ascii="宋体" w:hAnsi="宋体"/>
          <w:b/>
          <w:bCs/>
          <w:color w:val="auto"/>
          <w:szCs w:val="21"/>
          <w:highlight w:val="none"/>
        </w:rPr>
      </w:pPr>
      <w:r>
        <w:rPr>
          <w:rFonts w:hint="eastAsia" w:ascii="宋体" w:hAnsi="宋体"/>
          <w:b/>
          <w:bCs/>
          <w:color w:val="auto"/>
          <w:szCs w:val="21"/>
          <w:highlight w:val="none"/>
          <w:lang w:val="en-US" w:eastAsia="zh-CN"/>
        </w:rPr>
        <w:t>8</w:t>
      </w:r>
      <w:r>
        <w:rPr>
          <w:rFonts w:hint="eastAsia" w:ascii="宋体" w:hAnsi="宋体"/>
          <w:b/>
          <w:bCs/>
          <w:color w:val="auto"/>
          <w:szCs w:val="21"/>
          <w:highlight w:val="none"/>
        </w:rPr>
        <w:t>．</w:t>
      </w:r>
      <w:r>
        <w:rPr>
          <w:rFonts w:hint="eastAsia" w:ascii="宋体" w:hAnsi="宋体"/>
          <w:b/>
          <w:bCs/>
          <w:color w:val="auto"/>
          <w:szCs w:val="21"/>
          <w:highlight w:val="none"/>
          <w:lang w:eastAsia="zh-CN"/>
        </w:rPr>
        <w:t>采购</w:t>
      </w:r>
      <w:r>
        <w:rPr>
          <w:rFonts w:hint="eastAsia" w:ascii="宋体" w:hAnsi="宋体"/>
          <w:b/>
          <w:bCs/>
          <w:color w:val="auto"/>
          <w:szCs w:val="21"/>
          <w:highlight w:val="none"/>
        </w:rPr>
        <w:t>文件的组成</w:t>
      </w:r>
    </w:p>
    <w:p w14:paraId="3B9ADDC5">
      <w:pPr>
        <w:pStyle w:val="13"/>
        <w:keepNext w:val="0"/>
        <w:keepLines w:val="0"/>
        <w:pageBreakBefore w:val="0"/>
        <w:kinsoku/>
        <w:wordWrap/>
        <w:overflowPunct/>
        <w:topLinePunct w:val="0"/>
        <w:autoSpaceDE/>
        <w:bidi w:val="0"/>
        <w:adjustRightInd w:val="0"/>
        <w:snapToGrid w:val="0"/>
        <w:spacing w:line="240" w:lineRule="auto"/>
        <w:ind w:firstLine="420" w:firstLineChars="200"/>
        <w:textAlignment w:val="auto"/>
        <w:rPr>
          <w:rFonts w:hint="eastAsia" w:hAnsi="宋体"/>
          <w:color w:val="auto"/>
          <w:highlight w:val="none"/>
        </w:rPr>
      </w:pPr>
      <w:r>
        <w:rPr>
          <w:rFonts w:hint="eastAsia" w:hAnsi="宋体"/>
          <w:color w:val="auto"/>
          <w:highlight w:val="none"/>
          <w:lang w:val="en-US" w:eastAsia="zh-CN"/>
        </w:rPr>
        <w:t>8</w:t>
      </w:r>
      <w:r>
        <w:rPr>
          <w:rFonts w:hint="eastAsia" w:hAnsi="宋体"/>
          <w:color w:val="auto"/>
          <w:highlight w:val="none"/>
        </w:rPr>
        <w:t xml:space="preserve">.1 </w:t>
      </w:r>
      <w:r>
        <w:rPr>
          <w:rFonts w:hint="eastAsia" w:hAnsi="宋体"/>
          <w:color w:val="auto"/>
          <w:highlight w:val="none"/>
          <w:lang w:eastAsia="zh-CN"/>
        </w:rPr>
        <w:t>采购</w:t>
      </w:r>
      <w:r>
        <w:rPr>
          <w:rFonts w:hint="eastAsia" w:hAnsi="宋体"/>
          <w:color w:val="auto"/>
          <w:highlight w:val="none"/>
        </w:rPr>
        <w:t>文件由下列文件组成：</w:t>
      </w:r>
    </w:p>
    <w:p w14:paraId="4DFC0147">
      <w:pPr>
        <w:pStyle w:val="13"/>
        <w:keepNext w:val="0"/>
        <w:keepLines w:val="0"/>
        <w:pageBreakBefore w:val="0"/>
        <w:kinsoku/>
        <w:wordWrap/>
        <w:overflowPunct/>
        <w:topLinePunct w:val="0"/>
        <w:autoSpaceDE/>
        <w:bidi w:val="0"/>
        <w:adjustRightInd w:val="0"/>
        <w:snapToGrid w:val="0"/>
        <w:spacing w:line="240" w:lineRule="auto"/>
        <w:ind w:firstLine="420" w:firstLineChars="200"/>
        <w:textAlignment w:val="auto"/>
        <w:rPr>
          <w:rFonts w:hint="eastAsia" w:hAnsi="宋体"/>
          <w:color w:val="auto"/>
          <w:highlight w:val="none"/>
          <w:lang w:eastAsia="zh-CN"/>
        </w:rPr>
      </w:pPr>
      <w:r>
        <w:rPr>
          <w:rFonts w:hint="eastAsia" w:hAnsi="宋体"/>
          <w:color w:val="auto"/>
          <w:highlight w:val="none"/>
        </w:rPr>
        <w:t xml:space="preserve">第一章  </w:t>
      </w:r>
      <w:r>
        <w:rPr>
          <w:rFonts w:hint="eastAsia" w:hAnsi="宋体"/>
          <w:color w:val="auto"/>
          <w:highlight w:val="none"/>
          <w:lang w:eastAsia="zh-CN"/>
        </w:rPr>
        <w:t>竞谈采购邀请书</w:t>
      </w:r>
    </w:p>
    <w:p w14:paraId="040DA23B">
      <w:pPr>
        <w:pStyle w:val="13"/>
        <w:keepNext w:val="0"/>
        <w:keepLines w:val="0"/>
        <w:pageBreakBefore w:val="0"/>
        <w:kinsoku/>
        <w:wordWrap/>
        <w:overflowPunct/>
        <w:topLinePunct w:val="0"/>
        <w:autoSpaceDE/>
        <w:bidi w:val="0"/>
        <w:adjustRightInd w:val="0"/>
        <w:snapToGrid w:val="0"/>
        <w:spacing w:line="240" w:lineRule="auto"/>
        <w:ind w:firstLine="420" w:firstLineChars="200"/>
        <w:textAlignment w:val="auto"/>
        <w:rPr>
          <w:rFonts w:hint="eastAsia" w:hAnsi="宋体"/>
          <w:color w:val="auto"/>
          <w:highlight w:val="none"/>
        </w:rPr>
      </w:pPr>
      <w:r>
        <w:rPr>
          <w:rFonts w:hint="eastAsia" w:hAnsi="宋体"/>
          <w:color w:val="auto"/>
          <w:highlight w:val="none"/>
        </w:rPr>
        <w:t xml:space="preserve">第二章  </w:t>
      </w:r>
      <w:r>
        <w:rPr>
          <w:rFonts w:hint="eastAsia" w:hAnsi="宋体"/>
          <w:color w:val="auto"/>
          <w:highlight w:val="none"/>
          <w:lang w:eastAsia="zh-CN"/>
        </w:rPr>
        <w:t>供应商</w:t>
      </w:r>
      <w:r>
        <w:rPr>
          <w:rFonts w:hint="eastAsia" w:hAnsi="宋体"/>
          <w:color w:val="auto"/>
          <w:highlight w:val="none"/>
        </w:rPr>
        <w:t>须知</w:t>
      </w:r>
    </w:p>
    <w:p w14:paraId="7F0AC2D0">
      <w:pPr>
        <w:pStyle w:val="13"/>
        <w:keepNext w:val="0"/>
        <w:keepLines w:val="0"/>
        <w:pageBreakBefore w:val="0"/>
        <w:kinsoku/>
        <w:wordWrap/>
        <w:overflowPunct/>
        <w:topLinePunct w:val="0"/>
        <w:autoSpaceDE/>
        <w:bidi w:val="0"/>
        <w:adjustRightInd w:val="0"/>
        <w:snapToGrid w:val="0"/>
        <w:spacing w:line="240" w:lineRule="auto"/>
        <w:ind w:firstLine="420" w:firstLineChars="200"/>
        <w:textAlignment w:val="auto"/>
        <w:rPr>
          <w:rFonts w:hint="eastAsia" w:hAnsi="宋体"/>
          <w:color w:val="auto"/>
          <w:highlight w:val="none"/>
          <w:lang w:val="en-US" w:eastAsia="zh-CN"/>
        </w:rPr>
      </w:pPr>
      <w:r>
        <w:rPr>
          <w:rFonts w:hint="eastAsia" w:hAnsi="宋体"/>
          <w:color w:val="auto"/>
          <w:highlight w:val="none"/>
          <w:lang w:eastAsia="zh-CN"/>
        </w:rPr>
        <w:t>第三章</w:t>
      </w:r>
      <w:r>
        <w:rPr>
          <w:rFonts w:hint="eastAsia" w:hAnsi="宋体"/>
          <w:color w:val="auto"/>
          <w:highlight w:val="none"/>
          <w:lang w:val="en-US" w:eastAsia="zh-CN"/>
        </w:rPr>
        <w:t xml:space="preserve">  评审办法</w:t>
      </w:r>
    </w:p>
    <w:p w14:paraId="69C0BDC8">
      <w:pPr>
        <w:pStyle w:val="13"/>
        <w:keepNext w:val="0"/>
        <w:keepLines w:val="0"/>
        <w:pageBreakBefore w:val="0"/>
        <w:kinsoku/>
        <w:wordWrap/>
        <w:overflowPunct/>
        <w:topLinePunct w:val="0"/>
        <w:autoSpaceDE/>
        <w:bidi w:val="0"/>
        <w:adjustRightInd w:val="0"/>
        <w:snapToGrid w:val="0"/>
        <w:spacing w:line="240" w:lineRule="auto"/>
        <w:ind w:firstLine="420" w:firstLineChars="200"/>
        <w:textAlignment w:val="auto"/>
        <w:rPr>
          <w:rFonts w:hint="eastAsia" w:hAnsi="宋体"/>
          <w:color w:val="auto"/>
          <w:highlight w:val="none"/>
        </w:rPr>
      </w:pPr>
      <w:r>
        <w:rPr>
          <w:rFonts w:hint="eastAsia" w:hAnsi="宋体"/>
          <w:color w:val="auto"/>
          <w:highlight w:val="none"/>
          <w:lang w:eastAsia="zh-CN"/>
        </w:rPr>
        <w:t>第四章</w:t>
      </w:r>
      <w:r>
        <w:rPr>
          <w:rFonts w:hint="eastAsia" w:hAnsi="宋体"/>
          <w:color w:val="auto"/>
          <w:highlight w:val="none"/>
        </w:rPr>
        <w:t xml:space="preserve">  采购需求</w:t>
      </w:r>
    </w:p>
    <w:p w14:paraId="3CD62C8F">
      <w:pPr>
        <w:pStyle w:val="13"/>
        <w:keepNext w:val="0"/>
        <w:keepLines w:val="0"/>
        <w:pageBreakBefore w:val="0"/>
        <w:kinsoku/>
        <w:wordWrap/>
        <w:overflowPunct/>
        <w:topLinePunct w:val="0"/>
        <w:autoSpaceDE/>
        <w:bidi w:val="0"/>
        <w:adjustRightInd w:val="0"/>
        <w:snapToGrid w:val="0"/>
        <w:spacing w:line="240" w:lineRule="auto"/>
        <w:ind w:firstLine="420" w:firstLineChars="200"/>
        <w:textAlignment w:val="auto"/>
        <w:rPr>
          <w:rFonts w:hint="eastAsia" w:hAnsi="宋体"/>
          <w:color w:val="auto"/>
          <w:highlight w:val="none"/>
        </w:rPr>
      </w:pPr>
      <w:r>
        <w:rPr>
          <w:rFonts w:hint="eastAsia" w:hAnsi="宋体"/>
          <w:color w:val="auto"/>
          <w:highlight w:val="none"/>
          <w:lang w:eastAsia="zh-CN"/>
        </w:rPr>
        <w:t>第五章</w:t>
      </w:r>
      <w:r>
        <w:rPr>
          <w:rFonts w:hint="eastAsia" w:hAnsi="宋体"/>
          <w:color w:val="auto"/>
          <w:highlight w:val="none"/>
        </w:rPr>
        <w:t xml:space="preserve">  响应文件组成</w:t>
      </w:r>
    </w:p>
    <w:p w14:paraId="452E51F8">
      <w:pPr>
        <w:pStyle w:val="13"/>
        <w:keepNext w:val="0"/>
        <w:keepLines w:val="0"/>
        <w:pageBreakBefore w:val="0"/>
        <w:kinsoku/>
        <w:wordWrap/>
        <w:overflowPunct/>
        <w:topLinePunct w:val="0"/>
        <w:autoSpaceDE/>
        <w:bidi w:val="0"/>
        <w:adjustRightInd w:val="0"/>
        <w:snapToGrid w:val="0"/>
        <w:spacing w:line="240" w:lineRule="auto"/>
        <w:ind w:firstLine="420" w:firstLineChars="200"/>
        <w:textAlignment w:val="auto"/>
        <w:rPr>
          <w:rFonts w:hint="eastAsia"/>
          <w:color w:val="auto"/>
          <w:highlight w:val="none"/>
        </w:rPr>
      </w:pPr>
      <w:r>
        <w:rPr>
          <w:rFonts w:hint="eastAsia"/>
          <w:color w:val="auto"/>
          <w:highlight w:val="none"/>
          <w:lang w:val="en-US" w:eastAsia="zh-CN"/>
        </w:rPr>
        <w:t>8</w:t>
      </w:r>
      <w:r>
        <w:rPr>
          <w:rFonts w:hint="eastAsia"/>
          <w:color w:val="auto"/>
          <w:highlight w:val="none"/>
        </w:rPr>
        <w:t>.2</w:t>
      </w:r>
      <w:r>
        <w:rPr>
          <w:rFonts w:hint="eastAsia" w:hAnsi="宋体"/>
          <w:bCs/>
          <w:color w:val="auto"/>
          <w:highlight w:val="none"/>
        </w:rPr>
        <w:t>本章第</w:t>
      </w:r>
      <w:r>
        <w:rPr>
          <w:rFonts w:hint="eastAsia" w:hAnsi="宋体"/>
          <w:bCs/>
          <w:color w:val="auto"/>
          <w:highlight w:val="none"/>
          <w:lang w:val="en-US" w:eastAsia="zh-CN"/>
        </w:rPr>
        <w:t>9</w:t>
      </w:r>
      <w:r>
        <w:rPr>
          <w:rFonts w:hint="eastAsia" w:hAnsi="宋体"/>
          <w:bCs/>
          <w:color w:val="auto"/>
          <w:highlight w:val="none"/>
        </w:rPr>
        <w:t>.1</w:t>
      </w:r>
      <w:r>
        <w:rPr>
          <w:rFonts w:hint="eastAsia" w:hAnsi="宋体" w:cs="宋体"/>
          <w:color w:val="auto"/>
          <w:kern w:val="0"/>
          <w:highlight w:val="none"/>
          <w:lang w:val="zh-CN"/>
        </w:rPr>
        <w:t>款</w:t>
      </w:r>
      <w:r>
        <w:rPr>
          <w:rFonts w:hint="eastAsia" w:hAnsi="宋体"/>
          <w:bCs/>
          <w:color w:val="auto"/>
          <w:highlight w:val="none"/>
        </w:rPr>
        <w:t>规定的</w:t>
      </w:r>
      <w:r>
        <w:rPr>
          <w:rFonts w:hint="eastAsia" w:hAnsi="宋体" w:cs="宋体"/>
          <w:color w:val="auto"/>
          <w:kern w:val="0"/>
          <w:highlight w:val="none"/>
        </w:rPr>
        <w:t>提交响应文件截止时间前对</w:t>
      </w:r>
      <w:r>
        <w:rPr>
          <w:rFonts w:hint="eastAsia" w:hAnsi="宋体" w:cs="宋体"/>
          <w:color w:val="auto"/>
          <w:kern w:val="0"/>
          <w:highlight w:val="none"/>
          <w:lang w:eastAsia="zh-CN"/>
        </w:rPr>
        <w:t>采购</w:t>
      </w:r>
      <w:r>
        <w:rPr>
          <w:rFonts w:hint="eastAsia" w:hAnsi="宋体" w:cs="宋体"/>
          <w:color w:val="auto"/>
          <w:kern w:val="0"/>
          <w:highlight w:val="none"/>
        </w:rPr>
        <w:t>文件澄清或者修改内容，为</w:t>
      </w:r>
      <w:r>
        <w:rPr>
          <w:rFonts w:hint="eastAsia" w:hAnsi="宋体" w:cs="宋体"/>
          <w:color w:val="auto"/>
          <w:kern w:val="0"/>
          <w:highlight w:val="none"/>
          <w:lang w:eastAsia="zh-CN"/>
        </w:rPr>
        <w:t>采购文件</w:t>
      </w:r>
      <w:r>
        <w:rPr>
          <w:rFonts w:hint="eastAsia" w:hAnsi="宋体" w:cs="宋体"/>
          <w:color w:val="auto"/>
          <w:kern w:val="0"/>
          <w:highlight w:val="none"/>
        </w:rPr>
        <w:t>的组成部分。</w:t>
      </w:r>
    </w:p>
    <w:p w14:paraId="7142123E">
      <w:pPr>
        <w:keepNext w:val="0"/>
        <w:keepLines w:val="0"/>
        <w:pageBreakBefore w:val="0"/>
        <w:kinsoku/>
        <w:wordWrap/>
        <w:overflowPunct/>
        <w:topLinePunct w:val="0"/>
        <w:autoSpaceDE/>
        <w:bidi w:val="0"/>
        <w:adjustRightInd w:val="0"/>
        <w:snapToGrid w:val="0"/>
        <w:spacing w:line="240" w:lineRule="auto"/>
        <w:ind w:firstLine="420" w:firstLineChars="200"/>
        <w:textAlignment w:val="auto"/>
        <w:rPr>
          <w:rFonts w:hint="eastAsia" w:ascii="宋体" w:hAnsi="宋体"/>
          <w:color w:val="auto"/>
          <w:szCs w:val="21"/>
          <w:highlight w:val="none"/>
        </w:rPr>
      </w:pPr>
      <w:r>
        <w:rPr>
          <w:rFonts w:hint="eastAsia" w:ascii="宋体" w:hAnsi="宋体"/>
          <w:color w:val="auto"/>
          <w:highlight w:val="none"/>
          <w:lang w:val="en-US" w:eastAsia="zh-CN"/>
        </w:rPr>
        <w:t>8</w:t>
      </w:r>
      <w:r>
        <w:rPr>
          <w:rFonts w:hint="eastAsia" w:ascii="宋体" w:hAnsi="宋体"/>
          <w:color w:val="auto"/>
          <w:highlight w:val="none"/>
        </w:rPr>
        <w:t>.</w:t>
      </w:r>
      <w:r>
        <w:rPr>
          <w:rFonts w:hint="eastAsia" w:ascii="宋体" w:hAnsi="宋体"/>
          <w:color w:val="auto"/>
          <w:highlight w:val="none"/>
          <w:lang w:val="en-US" w:eastAsia="zh-CN"/>
        </w:rPr>
        <w:t>3</w:t>
      </w:r>
      <w:r>
        <w:rPr>
          <w:rFonts w:hint="eastAsia" w:ascii="宋体" w:hAnsi="宋体"/>
          <w:color w:val="auto"/>
          <w:szCs w:val="21"/>
          <w:highlight w:val="none"/>
        </w:rPr>
        <w:t>供应商应仔细阅读</w:t>
      </w:r>
      <w:r>
        <w:rPr>
          <w:rFonts w:hint="eastAsia" w:ascii="宋体" w:hAnsi="宋体"/>
          <w:bCs/>
          <w:color w:val="auto"/>
          <w:szCs w:val="21"/>
          <w:highlight w:val="none"/>
          <w:lang w:eastAsia="zh-CN"/>
        </w:rPr>
        <w:t>采购文件</w:t>
      </w:r>
      <w:r>
        <w:rPr>
          <w:rFonts w:hint="eastAsia" w:ascii="宋体" w:hAnsi="宋体"/>
          <w:color w:val="auto"/>
          <w:szCs w:val="21"/>
          <w:highlight w:val="none"/>
        </w:rPr>
        <w:t>的全部内容，按照</w:t>
      </w:r>
      <w:r>
        <w:rPr>
          <w:rFonts w:hint="eastAsia" w:ascii="宋体" w:hAnsi="宋体"/>
          <w:bCs/>
          <w:color w:val="auto"/>
          <w:szCs w:val="21"/>
          <w:highlight w:val="none"/>
          <w:lang w:eastAsia="zh-CN"/>
        </w:rPr>
        <w:t>采购文件</w:t>
      </w:r>
      <w:r>
        <w:rPr>
          <w:rFonts w:hint="eastAsia" w:ascii="宋体" w:hAnsi="宋体"/>
          <w:color w:val="auto"/>
          <w:szCs w:val="21"/>
          <w:highlight w:val="none"/>
        </w:rPr>
        <w:t>要求编制</w:t>
      </w:r>
      <w:r>
        <w:rPr>
          <w:rFonts w:hint="eastAsia"/>
          <w:color w:val="auto"/>
          <w:szCs w:val="21"/>
          <w:highlight w:val="none"/>
        </w:rPr>
        <w:t>响应</w:t>
      </w:r>
      <w:r>
        <w:rPr>
          <w:rFonts w:hint="eastAsia" w:ascii="宋体" w:hAnsi="宋体"/>
          <w:color w:val="auto"/>
          <w:szCs w:val="21"/>
          <w:highlight w:val="none"/>
        </w:rPr>
        <w:t>文件。任何对</w:t>
      </w:r>
      <w:r>
        <w:rPr>
          <w:rFonts w:hint="eastAsia" w:ascii="宋体" w:hAnsi="宋体"/>
          <w:bCs/>
          <w:color w:val="auto"/>
          <w:szCs w:val="21"/>
          <w:highlight w:val="none"/>
          <w:lang w:eastAsia="zh-CN"/>
        </w:rPr>
        <w:t>采购文件</w:t>
      </w:r>
      <w:r>
        <w:rPr>
          <w:rFonts w:hint="eastAsia" w:ascii="宋体" w:hAnsi="宋体"/>
          <w:color w:val="auto"/>
          <w:szCs w:val="21"/>
          <w:highlight w:val="none"/>
        </w:rPr>
        <w:t>的忽略或误解不能作为</w:t>
      </w:r>
      <w:r>
        <w:rPr>
          <w:rFonts w:hint="eastAsia"/>
          <w:color w:val="auto"/>
          <w:szCs w:val="21"/>
          <w:highlight w:val="none"/>
        </w:rPr>
        <w:t>响应</w:t>
      </w:r>
      <w:r>
        <w:rPr>
          <w:rFonts w:hint="eastAsia" w:ascii="宋体" w:hAnsi="宋体"/>
          <w:color w:val="auto"/>
          <w:szCs w:val="21"/>
          <w:highlight w:val="none"/>
        </w:rPr>
        <w:t>文件存在缺陷或瑕疵的理由，其风险由供应商承担。</w:t>
      </w:r>
    </w:p>
    <w:p w14:paraId="3A197139">
      <w:pPr>
        <w:pStyle w:val="13"/>
        <w:keepNext w:val="0"/>
        <w:keepLines w:val="0"/>
        <w:pageBreakBefore w:val="0"/>
        <w:kinsoku/>
        <w:wordWrap/>
        <w:overflowPunct/>
        <w:topLinePunct w:val="0"/>
        <w:autoSpaceDE/>
        <w:bidi w:val="0"/>
        <w:adjustRightInd w:val="0"/>
        <w:snapToGrid w:val="0"/>
        <w:spacing w:line="240" w:lineRule="auto"/>
        <w:textAlignment w:val="auto"/>
        <w:rPr>
          <w:rFonts w:hint="eastAsia" w:hAnsi="宋体"/>
          <w:color w:val="auto"/>
          <w:highlight w:val="none"/>
        </w:rPr>
      </w:pPr>
      <w:r>
        <w:rPr>
          <w:rFonts w:hint="eastAsia" w:hAnsi="宋体"/>
          <w:b/>
          <w:color w:val="auto"/>
          <w:highlight w:val="none"/>
          <w:lang w:val="en-US" w:eastAsia="zh-CN"/>
        </w:rPr>
        <w:t>9</w:t>
      </w:r>
      <w:r>
        <w:rPr>
          <w:rFonts w:hint="eastAsia" w:hAnsi="宋体"/>
          <w:b/>
          <w:color w:val="auto"/>
          <w:highlight w:val="none"/>
        </w:rPr>
        <w:t>.</w:t>
      </w:r>
      <w:r>
        <w:rPr>
          <w:rFonts w:hint="eastAsia" w:hAnsi="宋体" w:cs="宋体"/>
          <w:b/>
          <w:color w:val="auto"/>
          <w:kern w:val="0"/>
          <w:highlight w:val="none"/>
        </w:rPr>
        <w:t>提交响应文件</w:t>
      </w:r>
      <w:r>
        <w:rPr>
          <w:rFonts w:hint="eastAsia" w:hAnsi="宋体"/>
          <w:b/>
          <w:color w:val="auto"/>
          <w:highlight w:val="none"/>
        </w:rPr>
        <w:t>的</w:t>
      </w:r>
      <w:r>
        <w:rPr>
          <w:rFonts w:hint="eastAsia" w:hAnsi="宋体" w:cs="宋体"/>
          <w:b/>
          <w:color w:val="auto"/>
          <w:kern w:val="0"/>
          <w:highlight w:val="none"/>
        </w:rPr>
        <w:t>截止</w:t>
      </w:r>
      <w:r>
        <w:rPr>
          <w:rFonts w:hint="eastAsia" w:hAnsi="宋体"/>
          <w:b/>
          <w:color w:val="auto"/>
          <w:highlight w:val="none"/>
        </w:rPr>
        <w:t>时间</w:t>
      </w:r>
    </w:p>
    <w:p w14:paraId="682CA606">
      <w:pPr>
        <w:pStyle w:val="13"/>
        <w:keepNext w:val="0"/>
        <w:keepLines w:val="0"/>
        <w:pageBreakBefore w:val="0"/>
        <w:kinsoku/>
        <w:wordWrap/>
        <w:overflowPunct/>
        <w:topLinePunct w:val="0"/>
        <w:autoSpaceDE/>
        <w:bidi w:val="0"/>
        <w:adjustRightInd w:val="0"/>
        <w:snapToGrid w:val="0"/>
        <w:spacing w:line="240" w:lineRule="auto"/>
        <w:ind w:firstLine="420" w:firstLineChars="200"/>
        <w:textAlignment w:val="auto"/>
        <w:rPr>
          <w:rFonts w:hint="eastAsia" w:hAnsi="宋体"/>
          <w:color w:val="auto"/>
          <w:highlight w:val="none"/>
        </w:rPr>
      </w:pPr>
      <w:r>
        <w:rPr>
          <w:rFonts w:hint="eastAsia" w:hAnsi="宋体"/>
          <w:color w:val="auto"/>
          <w:highlight w:val="none"/>
          <w:lang w:val="en-US" w:eastAsia="zh-CN"/>
        </w:rPr>
        <w:t>9</w:t>
      </w:r>
      <w:r>
        <w:rPr>
          <w:rFonts w:hint="eastAsia" w:hAnsi="宋体"/>
          <w:color w:val="auto"/>
          <w:highlight w:val="none"/>
        </w:rPr>
        <w:t>.1</w:t>
      </w:r>
      <w:r>
        <w:rPr>
          <w:rFonts w:hint="eastAsia" w:hAnsi="宋体" w:cs="宋体"/>
          <w:color w:val="auto"/>
          <w:kern w:val="0"/>
          <w:highlight w:val="none"/>
        </w:rPr>
        <w:t>供应商提交响应文件截止</w:t>
      </w:r>
      <w:r>
        <w:rPr>
          <w:rFonts w:hint="eastAsia" w:hAnsi="宋体"/>
          <w:color w:val="auto"/>
          <w:highlight w:val="none"/>
        </w:rPr>
        <w:t>时间见</w:t>
      </w:r>
      <w:r>
        <w:rPr>
          <w:rFonts w:hint="eastAsia" w:hAnsi="宋体"/>
          <w:b/>
          <w:color w:val="auto"/>
          <w:highlight w:val="none"/>
          <w:lang w:eastAsia="zh-CN"/>
        </w:rPr>
        <w:t>供应商须知</w:t>
      </w:r>
      <w:r>
        <w:rPr>
          <w:rFonts w:hint="eastAsia" w:hAnsi="宋体"/>
          <w:b/>
          <w:color w:val="auto"/>
          <w:highlight w:val="none"/>
        </w:rPr>
        <w:t>前附表</w:t>
      </w:r>
      <w:r>
        <w:rPr>
          <w:rFonts w:hint="eastAsia" w:hAnsi="宋体"/>
          <w:color w:val="auto"/>
          <w:highlight w:val="none"/>
        </w:rPr>
        <w:t>。</w:t>
      </w:r>
    </w:p>
    <w:p w14:paraId="67DCC817">
      <w:pPr>
        <w:pStyle w:val="13"/>
        <w:keepNext w:val="0"/>
        <w:keepLines w:val="0"/>
        <w:pageBreakBefore w:val="0"/>
        <w:tabs>
          <w:tab w:val="center" w:pos="4422"/>
        </w:tabs>
        <w:kinsoku/>
        <w:wordWrap/>
        <w:overflowPunct/>
        <w:topLinePunct w:val="0"/>
        <w:autoSpaceDE/>
        <w:bidi w:val="0"/>
        <w:adjustRightInd w:val="0"/>
        <w:snapToGrid w:val="0"/>
        <w:spacing w:before="158" w:beforeLines="50" w:line="240" w:lineRule="auto"/>
        <w:textAlignment w:val="auto"/>
        <w:rPr>
          <w:rFonts w:hint="eastAsia" w:hAnsi="宋体"/>
          <w:b/>
          <w:color w:val="auto"/>
          <w:highlight w:val="none"/>
        </w:rPr>
      </w:pPr>
      <w:r>
        <w:rPr>
          <w:rFonts w:hint="eastAsia" w:hAnsi="宋体"/>
          <w:b/>
          <w:color w:val="auto"/>
          <w:highlight w:val="none"/>
        </w:rPr>
        <w:t>10．偏离</w:t>
      </w:r>
      <w:r>
        <w:rPr>
          <w:rFonts w:hAnsi="宋体"/>
          <w:b/>
          <w:color w:val="auto"/>
          <w:highlight w:val="none"/>
        </w:rPr>
        <w:tab/>
      </w:r>
    </w:p>
    <w:p w14:paraId="53F97046">
      <w:pPr>
        <w:pStyle w:val="19"/>
        <w:keepNext w:val="0"/>
        <w:keepLines w:val="0"/>
        <w:pageBreakBefore w:val="0"/>
        <w:kinsoku/>
        <w:wordWrap/>
        <w:overflowPunct/>
        <w:topLinePunct w:val="0"/>
        <w:autoSpaceDE/>
        <w:bidi w:val="0"/>
        <w:adjustRightInd w:val="0"/>
        <w:snapToGrid w:val="0"/>
        <w:spacing w:before="0" w:beforeAutospacing="0" w:after="0" w:afterAutospacing="0" w:line="240" w:lineRule="auto"/>
        <w:ind w:right="97" w:rightChars="46" w:firstLine="420" w:firstLineChars="200"/>
        <w:jc w:val="both"/>
        <w:textAlignment w:val="auto"/>
        <w:rPr>
          <w:rFonts w:hint="eastAsia"/>
          <w:color w:val="auto"/>
          <w:sz w:val="21"/>
          <w:szCs w:val="21"/>
          <w:highlight w:val="none"/>
        </w:rPr>
      </w:pPr>
      <w:r>
        <w:rPr>
          <w:rFonts w:hint="eastAsia"/>
          <w:bCs/>
          <w:color w:val="auto"/>
          <w:sz w:val="21"/>
          <w:szCs w:val="21"/>
          <w:highlight w:val="none"/>
        </w:rPr>
        <w:t>10.1本条所称</w:t>
      </w:r>
      <w:r>
        <w:rPr>
          <w:rFonts w:hint="eastAsia"/>
          <w:color w:val="auto"/>
          <w:sz w:val="21"/>
          <w:szCs w:val="21"/>
          <w:highlight w:val="none"/>
        </w:rPr>
        <w:t>偏离为</w:t>
      </w:r>
      <w:r>
        <w:rPr>
          <w:rFonts w:hint="eastAsia"/>
          <w:bCs/>
          <w:color w:val="auto"/>
          <w:sz w:val="21"/>
          <w:szCs w:val="21"/>
          <w:highlight w:val="none"/>
          <w:lang w:eastAsia="zh-CN"/>
        </w:rPr>
        <w:t>响应</w:t>
      </w:r>
      <w:r>
        <w:rPr>
          <w:rFonts w:hint="eastAsia"/>
          <w:bCs/>
          <w:color w:val="auto"/>
          <w:sz w:val="21"/>
          <w:szCs w:val="21"/>
          <w:highlight w:val="none"/>
        </w:rPr>
        <w:t>文件</w:t>
      </w:r>
      <w:r>
        <w:rPr>
          <w:rFonts w:hint="eastAsia"/>
          <w:color w:val="auto"/>
          <w:sz w:val="21"/>
          <w:szCs w:val="21"/>
          <w:highlight w:val="none"/>
        </w:rPr>
        <w:t>对</w:t>
      </w:r>
      <w:r>
        <w:rPr>
          <w:rFonts w:hint="eastAsia"/>
          <w:color w:val="auto"/>
          <w:sz w:val="21"/>
          <w:szCs w:val="21"/>
          <w:highlight w:val="none"/>
          <w:lang w:eastAsia="zh-CN"/>
        </w:rPr>
        <w:t>采购</w:t>
      </w:r>
      <w:r>
        <w:rPr>
          <w:rFonts w:hint="eastAsia"/>
          <w:color w:val="auto"/>
          <w:sz w:val="21"/>
          <w:szCs w:val="21"/>
          <w:highlight w:val="none"/>
        </w:rPr>
        <w:t>文件的偏离，即不满足、或不响应</w:t>
      </w:r>
      <w:r>
        <w:rPr>
          <w:rFonts w:hint="eastAsia"/>
          <w:color w:val="auto"/>
          <w:sz w:val="21"/>
          <w:szCs w:val="21"/>
          <w:highlight w:val="none"/>
          <w:lang w:eastAsia="zh-CN"/>
        </w:rPr>
        <w:t>采购</w:t>
      </w:r>
      <w:r>
        <w:rPr>
          <w:rFonts w:hint="eastAsia"/>
          <w:color w:val="auto"/>
          <w:sz w:val="21"/>
          <w:szCs w:val="21"/>
          <w:highlight w:val="none"/>
        </w:rPr>
        <w:t>文件的要求。偏离分为对</w:t>
      </w:r>
      <w:r>
        <w:rPr>
          <w:rFonts w:hint="eastAsia"/>
          <w:color w:val="auto"/>
          <w:sz w:val="21"/>
          <w:szCs w:val="21"/>
          <w:highlight w:val="none"/>
          <w:lang w:eastAsia="zh-CN"/>
        </w:rPr>
        <w:t>采购</w:t>
      </w:r>
      <w:r>
        <w:rPr>
          <w:rFonts w:hint="eastAsia"/>
          <w:color w:val="auto"/>
          <w:sz w:val="21"/>
          <w:szCs w:val="21"/>
          <w:highlight w:val="none"/>
        </w:rPr>
        <w:t>文件的实质性要求条款偏离和对</w:t>
      </w:r>
      <w:r>
        <w:rPr>
          <w:rFonts w:hint="eastAsia"/>
          <w:color w:val="auto"/>
          <w:sz w:val="21"/>
          <w:szCs w:val="21"/>
          <w:highlight w:val="none"/>
          <w:lang w:eastAsia="zh-CN"/>
        </w:rPr>
        <w:t>采购</w:t>
      </w:r>
      <w:r>
        <w:rPr>
          <w:rFonts w:hint="eastAsia"/>
          <w:color w:val="auto"/>
          <w:sz w:val="21"/>
          <w:szCs w:val="21"/>
          <w:highlight w:val="none"/>
        </w:rPr>
        <w:t>文件的一般商务</w:t>
      </w:r>
      <w:r>
        <w:rPr>
          <w:rFonts w:hint="eastAsia"/>
          <w:color w:val="auto"/>
          <w:spacing w:val="4"/>
          <w:sz w:val="21"/>
          <w:szCs w:val="21"/>
          <w:highlight w:val="none"/>
        </w:rPr>
        <w:t>和</w:t>
      </w:r>
      <w:r>
        <w:rPr>
          <w:rFonts w:hint="eastAsia"/>
          <w:color w:val="auto"/>
          <w:sz w:val="21"/>
          <w:szCs w:val="21"/>
          <w:highlight w:val="none"/>
        </w:rPr>
        <w:t>技术条款（参数）偏离。</w:t>
      </w:r>
    </w:p>
    <w:p w14:paraId="5D645015">
      <w:pPr>
        <w:keepNext w:val="0"/>
        <w:keepLines w:val="0"/>
        <w:pageBreakBefore w:val="0"/>
        <w:tabs>
          <w:tab w:val="left" w:pos="0"/>
        </w:tabs>
        <w:kinsoku/>
        <w:wordWrap/>
        <w:overflowPunct/>
        <w:topLinePunct w:val="0"/>
        <w:autoSpaceDE/>
        <w:bidi w:val="0"/>
        <w:adjustRightInd w:val="0"/>
        <w:snapToGrid w:val="0"/>
        <w:spacing w:before="158" w:beforeLines="50" w:line="240" w:lineRule="auto"/>
        <w:ind w:firstLine="420" w:firstLineChars="200"/>
        <w:textAlignment w:val="auto"/>
        <w:rPr>
          <w:rFonts w:hint="eastAsia" w:ascii="宋体" w:hAnsi="宋体"/>
          <w:color w:val="auto"/>
          <w:szCs w:val="21"/>
          <w:highlight w:val="none"/>
        </w:rPr>
      </w:pPr>
      <w:r>
        <w:rPr>
          <w:rFonts w:hint="eastAsia" w:ascii="宋体" w:hAnsi="宋体"/>
          <w:bCs/>
          <w:color w:val="auto"/>
          <w:szCs w:val="21"/>
          <w:highlight w:val="none"/>
        </w:rPr>
        <w:t>10.2除法律、法规和规章规定外，</w:t>
      </w:r>
      <w:r>
        <w:rPr>
          <w:rFonts w:hint="eastAsia" w:ascii="宋体" w:hAnsi="宋体"/>
          <w:bCs/>
          <w:color w:val="auto"/>
          <w:szCs w:val="21"/>
          <w:highlight w:val="none"/>
          <w:lang w:eastAsia="zh-CN"/>
        </w:rPr>
        <w:t>采购</w:t>
      </w:r>
      <w:r>
        <w:rPr>
          <w:rFonts w:hint="eastAsia" w:ascii="宋体" w:hAnsi="宋体"/>
          <w:color w:val="auto"/>
          <w:szCs w:val="21"/>
          <w:highlight w:val="none"/>
        </w:rPr>
        <w:t>文件中用“拒绝”、“不接受”、“无效”、“不得”等文字规定或标注“★”符号的条款为实质性要求条款（即重要条款），对其中任何一条的偏离，在评</w:t>
      </w:r>
      <w:r>
        <w:rPr>
          <w:rFonts w:hint="eastAsia" w:ascii="宋体" w:hAnsi="宋体"/>
          <w:color w:val="auto"/>
          <w:szCs w:val="21"/>
          <w:highlight w:val="none"/>
          <w:lang w:eastAsia="zh-CN"/>
        </w:rPr>
        <w:t>审</w:t>
      </w:r>
      <w:r>
        <w:rPr>
          <w:rFonts w:hint="eastAsia" w:ascii="宋体" w:hAnsi="宋体"/>
          <w:color w:val="auto"/>
          <w:szCs w:val="21"/>
          <w:highlight w:val="none"/>
        </w:rPr>
        <w:t>时将其视为无效</w:t>
      </w:r>
      <w:r>
        <w:rPr>
          <w:rFonts w:hint="eastAsia" w:ascii="宋体" w:hAnsi="宋体"/>
          <w:color w:val="auto"/>
          <w:szCs w:val="21"/>
          <w:highlight w:val="none"/>
          <w:lang w:eastAsia="zh-CN"/>
        </w:rPr>
        <w:t>响应</w:t>
      </w:r>
      <w:r>
        <w:rPr>
          <w:rFonts w:hint="eastAsia" w:ascii="宋体" w:hAnsi="宋体"/>
          <w:color w:val="auto"/>
          <w:szCs w:val="21"/>
          <w:highlight w:val="none"/>
        </w:rPr>
        <w:t>。未用上述文字规定或符号标注的条款为非实质性要求条款(即一般条款)。</w:t>
      </w:r>
    </w:p>
    <w:p w14:paraId="5C0630E0">
      <w:pPr>
        <w:keepNext w:val="0"/>
        <w:keepLines w:val="0"/>
        <w:pageBreakBefore w:val="0"/>
        <w:tabs>
          <w:tab w:val="left" w:pos="0"/>
        </w:tabs>
        <w:kinsoku/>
        <w:wordWrap/>
        <w:overflowPunct/>
        <w:topLinePunct w:val="0"/>
        <w:autoSpaceDE/>
        <w:bidi w:val="0"/>
        <w:adjustRightInd w:val="0"/>
        <w:snapToGrid w:val="0"/>
        <w:spacing w:before="158" w:beforeLines="50" w:line="240" w:lineRule="auto"/>
        <w:ind w:firstLine="420" w:firstLineChars="200"/>
        <w:textAlignment w:val="auto"/>
        <w:rPr>
          <w:rFonts w:hint="eastAsia" w:ascii="宋体" w:hAnsi="宋体"/>
          <w:b/>
          <w:color w:val="auto"/>
          <w:szCs w:val="21"/>
          <w:highlight w:val="none"/>
        </w:rPr>
      </w:pPr>
      <w:r>
        <w:rPr>
          <w:rFonts w:hint="eastAsia" w:ascii="宋体" w:hAnsi="宋体"/>
          <w:color w:val="auto"/>
          <w:szCs w:val="21"/>
          <w:highlight w:val="none"/>
        </w:rPr>
        <w:t>10.3</w:t>
      </w:r>
      <w:r>
        <w:rPr>
          <w:rFonts w:hint="eastAsia" w:hAnsi="宋体"/>
          <w:b/>
          <w:color w:val="auto"/>
          <w:highlight w:val="none"/>
          <w:lang w:eastAsia="zh-CN"/>
        </w:rPr>
        <w:t>供应商须知前附表</w:t>
      </w:r>
      <w:r>
        <w:rPr>
          <w:rFonts w:hint="eastAsia" w:ascii="宋体" w:hAnsi="宋体"/>
          <w:color w:val="auto"/>
          <w:szCs w:val="21"/>
          <w:highlight w:val="none"/>
          <w:lang w:eastAsia="zh-CN"/>
        </w:rPr>
        <w:t>允许响应文件偏离采购文件非实质性要求条款(即一般条款)的，偏离应当满足采购文件规定偏离幅度，</w:t>
      </w:r>
      <w:r>
        <w:rPr>
          <w:rFonts w:hint="eastAsia" w:ascii="宋体" w:hAnsi="宋体"/>
          <w:color w:val="auto"/>
          <w:szCs w:val="21"/>
          <w:highlight w:val="none"/>
        </w:rPr>
        <w:t>允许偏离的最高项数见</w:t>
      </w:r>
      <w:r>
        <w:rPr>
          <w:rFonts w:hint="eastAsia" w:hAnsi="宋体"/>
          <w:b/>
          <w:color w:val="auto"/>
          <w:highlight w:val="none"/>
          <w:lang w:eastAsia="zh-CN"/>
        </w:rPr>
        <w:t>供应商须知</w:t>
      </w:r>
      <w:r>
        <w:rPr>
          <w:rFonts w:hint="eastAsia" w:hAnsi="宋体"/>
          <w:b/>
          <w:color w:val="auto"/>
          <w:highlight w:val="none"/>
        </w:rPr>
        <w:t>前附表</w:t>
      </w:r>
      <w:r>
        <w:rPr>
          <w:rFonts w:hint="eastAsia" w:ascii="宋体" w:hAnsi="宋体"/>
          <w:b/>
          <w:color w:val="auto"/>
          <w:szCs w:val="21"/>
          <w:highlight w:val="none"/>
        </w:rPr>
        <w:t>。</w:t>
      </w:r>
    </w:p>
    <w:p w14:paraId="13226D83">
      <w:pPr>
        <w:keepNext w:val="0"/>
        <w:keepLines w:val="0"/>
        <w:pageBreakBefore w:val="0"/>
        <w:tabs>
          <w:tab w:val="left" w:pos="0"/>
        </w:tabs>
        <w:kinsoku/>
        <w:wordWrap/>
        <w:overflowPunct/>
        <w:topLinePunct w:val="0"/>
        <w:autoSpaceDE/>
        <w:bidi w:val="0"/>
        <w:adjustRightInd w:val="0"/>
        <w:snapToGrid w:val="0"/>
        <w:spacing w:before="158" w:beforeLines="50" w:line="24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10.4本章第10.3</w:t>
      </w:r>
      <w:r>
        <w:rPr>
          <w:rFonts w:hint="eastAsia" w:ascii="宋体" w:hAnsi="宋体" w:cs="宋体"/>
          <w:color w:val="auto"/>
          <w:highlight w:val="none"/>
          <w:lang w:val="zh-CN"/>
        </w:rPr>
        <w:t>款</w:t>
      </w:r>
      <w:r>
        <w:rPr>
          <w:rFonts w:hint="eastAsia" w:ascii="宋体" w:hAnsi="宋体"/>
          <w:color w:val="auto"/>
          <w:szCs w:val="21"/>
          <w:highlight w:val="none"/>
        </w:rPr>
        <w:t>所称条款数（最高项数）的统计方法见</w:t>
      </w:r>
      <w:r>
        <w:rPr>
          <w:rFonts w:hint="eastAsia" w:hAnsi="宋体"/>
          <w:b/>
          <w:color w:val="auto"/>
          <w:highlight w:val="none"/>
          <w:lang w:eastAsia="zh-CN"/>
        </w:rPr>
        <w:t>供应商须知</w:t>
      </w:r>
      <w:r>
        <w:rPr>
          <w:rFonts w:hint="eastAsia" w:hAnsi="宋体"/>
          <w:b/>
          <w:color w:val="auto"/>
          <w:highlight w:val="none"/>
        </w:rPr>
        <w:t>前附表</w:t>
      </w:r>
      <w:r>
        <w:rPr>
          <w:rFonts w:hint="eastAsia" w:ascii="宋体" w:hAnsi="宋体"/>
          <w:b/>
          <w:color w:val="auto"/>
          <w:szCs w:val="21"/>
          <w:highlight w:val="none"/>
        </w:rPr>
        <w:t>。</w:t>
      </w:r>
    </w:p>
    <w:p w14:paraId="4FCB0DB4">
      <w:pPr>
        <w:keepNext w:val="0"/>
        <w:keepLines w:val="0"/>
        <w:pageBreakBefore w:val="0"/>
        <w:kinsoku/>
        <w:wordWrap/>
        <w:overflowPunct/>
        <w:topLinePunct w:val="0"/>
        <w:autoSpaceDE/>
        <w:bidi w:val="0"/>
        <w:adjustRightInd w:val="0"/>
        <w:snapToGrid w:val="0"/>
        <w:spacing w:line="240" w:lineRule="auto"/>
        <w:textAlignment w:val="auto"/>
        <w:rPr>
          <w:rFonts w:ascii="宋体" w:hAnsi="宋体"/>
          <w:b/>
          <w:bCs/>
          <w:color w:val="auto"/>
          <w:szCs w:val="21"/>
          <w:highlight w:val="none"/>
        </w:rPr>
      </w:pPr>
      <w:r>
        <w:rPr>
          <w:rFonts w:hint="eastAsia" w:ascii="宋体" w:hAnsi="宋体"/>
          <w:b/>
          <w:bCs/>
          <w:color w:val="auto"/>
          <w:szCs w:val="21"/>
          <w:highlight w:val="none"/>
        </w:rPr>
        <w:t>1</w:t>
      </w:r>
      <w:r>
        <w:rPr>
          <w:rFonts w:hint="eastAsia" w:ascii="宋体" w:hAnsi="宋体"/>
          <w:b/>
          <w:bCs/>
          <w:color w:val="auto"/>
          <w:szCs w:val="21"/>
          <w:highlight w:val="none"/>
          <w:lang w:val="en-US" w:eastAsia="zh-CN"/>
        </w:rPr>
        <w:t>1</w:t>
      </w:r>
      <w:r>
        <w:rPr>
          <w:rFonts w:hint="eastAsia" w:ascii="宋体" w:hAnsi="宋体"/>
          <w:b/>
          <w:bCs/>
          <w:color w:val="auto"/>
          <w:szCs w:val="21"/>
          <w:highlight w:val="none"/>
        </w:rPr>
        <w:t>.采购文件的澄清</w:t>
      </w:r>
      <w:r>
        <w:rPr>
          <w:rFonts w:hint="eastAsia" w:ascii="宋体" w:hAnsi="宋体"/>
          <w:b/>
          <w:color w:val="auto"/>
          <w:kern w:val="0"/>
          <w:szCs w:val="21"/>
          <w:highlight w:val="none"/>
          <w:lang w:val="zh-CN"/>
        </w:rPr>
        <w:t>或者</w:t>
      </w:r>
      <w:r>
        <w:rPr>
          <w:rFonts w:hint="eastAsia" w:ascii="宋体" w:hAnsi="宋体"/>
          <w:b/>
          <w:bCs/>
          <w:color w:val="auto"/>
          <w:szCs w:val="21"/>
          <w:highlight w:val="none"/>
        </w:rPr>
        <w:t>修改</w:t>
      </w:r>
    </w:p>
    <w:p w14:paraId="454E98F0">
      <w:pPr>
        <w:keepNext w:val="0"/>
        <w:keepLines w:val="0"/>
        <w:pageBreakBefore w:val="0"/>
        <w:kinsoku/>
        <w:wordWrap/>
        <w:overflowPunct/>
        <w:topLinePunct w:val="0"/>
        <w:autoSpaceDE/>
        <w:bidi w:val="0"/>
        <w:adjustRightInd w:val="0"/>
        <w:snapToGrid w:val="0"/>
        <w:spacing w:line="240" w:lineRule="auto"/>
        <w:ind w:right="-105" w:rightChars="-50" w:firstLine="420" w:firstLineChars="200"/>
        <w:textAlignment w:val="auto"/>
        <w:rPr>
          <w:rFonts w:ascii="宋体" w:hAnsi="宋体" w:cs="宋体"/>
          <w:color w:val="auto"/>
          <w:kern w:val="0"/>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1</w:t>
      </w:r>
      <w:r>
        <w:rPr>
          <w:rFonts w:hint="eastAsia" w:ascii="宋体" w:hAnsi="宋体"/>
          <w:color w:val="auto"/>
          <w:szCs w:val="21"/>
          <w:highlight w:val="none"/>
        </w:rPr>
        <w:t>.1在</w:t>
      </w:r>
      <w:r>
        <w:rPr>
          <w:rFonts w:hint="eastAsia" w:ascii="宋体" w:hAnsi="宋体"/>
          <w:bCs/>
          <w:color w:val="auto"/>
          <w:szCs w:val="21"/>
          <w:highlight w:val="none"/>
        </w:rPr>
        <w:t>本章第9.1</w:t>
      </w:r>
      <w:r>
        <w:rPr>
          <w:rFonts w:hint="eastAsia" w:ascii="宋体" w:hAnsi="宋体" w:cs="宋体"/>
          <w:color w:val="auto"/>
          <w:kern w:val="0"/>
          <w:szCs w:val="21"/>
          <w:highlight w:val="none"/>
          <w:lang w:val="zh-CN"/>
        </w:rPr>
        <w:t>款</w:t>
      </w:r>
      <w:r>
        <w:rPr>
          <w:rFonts w:hint="eastAsia" w:ascii="宋体" w:hAnsi="宋体"/>
          <w:bCs/>
          <w:color w:val="auto"/>
          <w:szCs w:val="21"/>
          <w:highlight w:val="none"/>
        </w:rPr>
        <w:t>规定的</w:t>
      </w:r>
      <w:r>
        <w:rPr>
          <w:rFonts w:hint="eastAsia" w:ascii="宋体" w:hAnsi="宋体" w:cs="宋体"/>
          <w:color w:val="auto"/>
          <w:kern w:val="0"/>
          <w:szCs w:val="21"/>
          <w:highlight w:val="none"/>
        </w:rPr>
        <w:t xml:space="preserve">提交响应文件截止之日前，采购人、可以对已发出的采购文件进行必要的澄清或者修改。 </w:t>
      </w:r>
    </w:p>
    <w:p w14:paraId="065FA2EF">
      <w:pPr>
        <w:keepNext w:val="0"/>
        <w:keepLines w:val="0"/>
        <w:pageBreakBefore w:val="0"/>
        <w:kinsoku/>
        <w:wordWrap/>
        <w:overflowPunct/>
        <w:topLinePunct w:val="0"/>
        <w:autoSpaceDE/>
        <w:bidi w:val="0"/>
        <w:adjustRightInd w:val="0"/>
        <w:snapToGrid w:val="0"/>
        <w:spacing w:line="240" w:lineRule="auto"/>
        <w:ind w:right="-105" w:rightChars="-50" w:firstLine="420" w:firstLineChars="200"/>
        <w:textAlignment w:val="auto"/>
        <w:rPr>
          <w:rFonts w:ascii="宋体" w:hAnsi="宋体" w:cs="宋体"/>
          <w:color w:val="auto"/>
          <w:kern w:val="0"/>
          <w:szCs w:val="21"/>
          <w:highlight w:val="none"/>
        </w:rPr>
      </w:pPr>
      <w:r>
        <w:rPr>
          <w:rFonts w:hint="eastAsia" w:ascii="宋体" w:hAnsi="宋体"/>
          <w:color w:val="auto"/>
          <w:szCs w:val="21"/>
          <w:highlight w:val="none"/>
          <w:lang w:val="en-US" w:eastAsia="zh-CN"/>
        </w:rPr>
        <w:t>11</w:t>
      </w:r>
      <w:r>
        <w:rPr>
          <w:rFonts w:hint="eastAsia" w:ascii="宋体" w:hAnsi="宋体"/>
          <w:color w:val="auto"/>
          <w:szCs w:val="21"/>
          <w:highlight w:val="none"/>
        </w:rPr>
        <w:t>.2</w:t>
      </w:r>
      <w:r>
        <w:rPr>
          <w:rFonts w:hint="eastAsia" w:ascii="宋体" w:hAnsi="宋体" w:cs="宋体"/>
          <w:color w:val="auto"/>
          <w:kern w:val="0"/>
          <w:szCs w:val="21"/>
          <w:highlight w:val="none"/>
        </w:rPr>
        <w:t>澄清或者修改的内容可能影响响应文件编制的，采购人、应当在</w:t>
      </w:r>
      <w:r>
        <w:rPr>
          <w:rFonts w:hint="eastAsia" w:ascii="宋体" w:hAnsi="宋体"/>
          <w:bCs/>
          <w:color w:val="auto"/>
          <w:szCs w:val="21"/>
          <w:highlight w:val="none"/>
        </w:rPr>
        <w:t>本章第9.1</w:t>
      </w:r>
      <w:r>
        <w:rPr>
          <w:rFonts w:hint="eastAsia" w:ascii="宋体" w:hAnsi="宋体" w:cs="宋体"/>
          <w:color w:val="auto"/>
          <w:kern w:val="0"/>
          <w:szCs w:val="21"/>
          <w:highlight w:val="none"/>
          <w:lang w:val="zh-CN"/>
        </w:rPr>
        <w:t>款</w:t>
      </w:r>
      <w:r>
        <w:rPr>
          <w:rFonts w:hint="eastAsia" w:ascii="宋体" w:hAnsi="宋体"/>
          <w:bCs/>
          <w:color w:val="auto"/>
          <w:szCs w:val="21"/>
          <w:highlight w:val="none"/>
        </w:rPr>
        <w:t>规定的</w:t>
      </w:r>
      <w:r>
        <w:rPr>
          <w:rFonts w:hint="eastAsia" w:ascii="宋体" w:hAnsi="宋体" w:cs="宋体"/>
          <w:color w:val="auto"/>
          <w:kern w:val="0"/>
          <w:szCs w:val="21"/>
          <w:highlight w:val="none"/>
        </w:rPr>
        <w:t>提交响应文件截止之日3个工作日前，以书面形式通知所有接收采购文件的供应商，不足3个工作日的，顺延供应商提交响应文件截止时间。</w:t>
      </w:r>
    </w:p>
    <w:p w14:paraId="02D145AF">
      <w:pPr>
        <w:keepNext w:val="0"/>
        <w:keepLines w:val="0"/>
        <w:pageBreakBefore w:val="0"/>
        <w:kinsoku/>
        <w:wordWrap/>
        <w:overflowPunct/>
        <w:topLinePunct w:val="0"/>
        <w:autoSpaceDE/>
        <w:bidi w:val="0"/>
        <w:adjustRightInd w:val="0"/>
        <w:snapToGrid w:val="0"/>
        <w:spacing w:line="240" w:lineRule="auto"/>
        <w:ind w:left="902" w:hanging="902" w:hangingChars="376"/>
        <w:textAlignment w:val="auto"/>
        <w:rPr>
          <w:rFonts w:ascii="黑体" w:hAnsi="宋体" w:eastAsia="黑体"/>
          <w:color w:val="auto"/>
          <w:sz w:val="24"/>
          <w:highlight w:val="none"/>
        </w:rPr>
      </w:pPr>
      <w:r>
        <w:rPr>
          <w:rFonts w:hint="eastAsia" w:ascii="黑体" w:hAnsi="宋体" w:eastAsia="黑体"/>
          <w:color w:val="auto"/>
          <w:sz w:val="24"/>
          <w:highlight w:val="none"/>
        </w:rPr>
        <w:t>三、响应文件</w:t>
      </w:r>
    </w:p>
    <w:p w14:paraId="74294E2E">
      <w:pPr>
        <w:keepNext w:val="0"/>
        <w:keepLines w:val="0"/>
        <w:pageBreakBefore w:val="0"/>
        <w:kinsoku/>
        <w:wordWrap/>
        <w:overflowPunct/>
        <w:topLinePunct w:val="0"/>
        <w:autoSpaceDE/>
        <w:bidi w:val="0"/>
        <w:adjustRightInd w:val="0"/>
        <w:snapToGrid w:val="0"/>
        <w:spacing w:line="240" w:lineRule="auto"/>
        <w:textAlignment w:val="auto"/>
        <w:rPr>
          <w:rFonts w:ascii="宋体" w:hAnsi="宋体"/>
          <w:b/>
          <w:bCs/>
          <w:color w:val="auto"/>
          <w:szCs w:val="21"/>
          <w:highlight w:val="none"/>
        </w:rPr>
      </w:pPr>
      <w:r>
        <w:rPr>
          <w:rFonts w:hint="eastAsia" w:ascii="宋体" w:hAnsi="宋体"/>
          <w:b/>
          <w:bCs/>
          <w:color w:val="auto"/>
          <w:szCs w:val="21"/>
          <w:highlight w:val="none"/>
        </w:rPr>
        <w:t>1</w:t>
      </w:r>
      <w:r>
        <w:rPr>
          <w:rFonts w:hint="eastAsia" w:ascii="宋体" w:hAnsi="宋体"/>
          <w:b/>
          <w:bCs/>
          <w:color w:val="auto"/>
          <w:szCs w:val="21"/>
          <w:highlight w:val="none"/>
          <w:lang w:val="en-US" w:eastAsia="zh-CN"/>
        </w:rPr>
        <w:t>2</w:t>
      </w:r>
      <w:r>
        <w:rPr>
          <w:rFonts w:hint="eastAsia" w:ascii="宋体" w:hAnsi="宋体"/>
          <w:b/>
          <w:bCs/>
          <w:color w:val="auto"/>
          <w:szCs w:val="21"/>
          <w:highlight w:val="none"/>
        </w:rPr>
        <w:t>.一般要求</w:t>
      </w:r>
    </w:p>
    <w:p w14:paraId="20714EC1">
      <w:pPr>
        <w:keepNext w:val="0"/>
        <w:keepLines w:val="0"/>
        <w:pageBreakBefore w:val="0"/>
        <w:kinsoku/>
        <w:wordWrap/>
        <w:overflowPunct/>
        <w:topLinePunct w:val="0"/>
        <w:autoSpaceDE/>
        <w:bidi w:val="0"/>
        <w:adjustRightInd w:val="0"/>
        <w:snapToGrid w:val="0"/>
        <w:spacing w:line="240" w:lineRule="auto"/>
        <w:ind w:firstLine="420" w:firstLineChars="200"/>
        <w:textAlignment w:val="auto"/>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val="en-US" w:eastAsia="zh-CN"/>
        </w:rPr>
        <w:t>2</w:t>
      </w:r>
      <w:r>
        <w:rPr>
          <w:rFonts w:hint="eastAsia" w:ascii="宋体" w:hAnsi="宋体"/>
          <w:bCs/>
          <w:color w:val="auto"/>
          <w:szCs w:val="21"/>
          <w:highlight w:val="none"/>
        </w:rPr>
        <w:t>.1 供应商应仔细阅读采购文件的所有内容，按采购文件的要求编制响应文件，并保证所提供的全部资料的真实性，以使其响应文件对采购文件做出实质性的响应。</w:t>
      </w:r>
    </w:p>
    <w:p w14:paraId="5C02472F">
      <w:pPr>
        <w:keepNext w:val="0"/>
        <w:keepLines w:val="0"/>
        <w:pageBreakBefore w:val="0"/>
        <w:kinsoku/>
        <w:wordWrap/>
        <w:overflowPunct/>
        <w:topLinePunct w:val="0"/>
        <w:autoSpaceDE/>
        <w:bidi w:val="0"/>
        <w:adjustRightInd w:val="0"/>
        <w:snapToGrid w:val="0"/>
        <w:spacing w:line="240" w:lineRule="auto"/>
        <w:ind w:firstLine="420" w:firstLineChars="200"/>
        <w:textAlignment w:val="auto"/>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val="en-US" w:eastAsia="zh-CN"/>
        </w:rPr>
        <w:t>2</w:t>
      </w:r>
      <w:r>
        <w:rPr>
          <w:rFonts w:hint="eastAsia" w:ascii="宋体" w:hAnsi="宋体"/>
          <w:bCs/>
          <w:color w:val="auto"/>
          <w:szCs w:val="21"/>
          <w:highlight w:val="none"/>
        </w:rPr>
        <w:t xml:space="preserve">.2 </w:t>
      </w:r>
      <w:r>
        <w:rPr>
          <w:rFonts w:hint="eastAsia" w:ascii="宋体" w:hAnsi="宋体"/>
          <w:color w:val="auto"/>
          <w:szCs w:val="21"/>
          <w:highlight w:val="none"/>
        </w:rPr>
        <w:t>供应商提交的响应文件及供应商与采购人或、评审小组就有关采购的所有来往函电均使用中文。供应商可以提交其它语言的资料，但应附中文注释，在有差异时以中文为准。</w:t>
      </w:r>
    </w:p>
    <w:p w14:paraId="20FF5DC2">
      <w:pPr>
        <w:pStyle w:val="13"/>
        <w:keepNext w:val="0"/>
        <w:keepLines w:val="0"/>
        <w:pageBreakBefore w:val="0"/>
        <w:kinsoku/>
        <w:wordWrap/>
        <w:overflowPunct/>
        <w:topLinePunct w:val="0"/>
        <w:autoSpaceDE/>
        <w:bidi w:val="0"/>
        <w:adjustRightInd w:val="0"/>
        <w:snapToGrid w:val="0"/>
        <w:spacing w:line="240" w:lineRule="auto"/>
        <w:ind w:firstLine="420" w:firstLineChars="200"/>
        <w:textAlignment w:val="auto"/>
        <w:rPr>
          <w:rFonts w:hAnsi="宋体"/>
          <w:color w:val="auto"/>
          <w:highlight w:val="none"/>
        </w:rPr>
      </w:pPr>
      <w:r>
        <w:rPr>
          <w:rFonts w:hint="eastAsia" w:hAnsi="宋体"/>
          <w:bCs/>
          <w:color w:val="auto"/>
          <w:highlight w:val="none"/>
        </w:rPr>
        <w:t>1</w:t>
      </w:r>
      <w:r>
        <w:rPr>
          <w:rFonts w:hint="eastAsia" w:hAnsi="宋体"/>
          <w:bCs/>
          <w:color w:val="auto"/>
          <w:highlight w:val="none"/>
          <w:lang w:val="en-US" w:eastAsia="zh-CN"/>
        </w:rPr>
        <w:t>2</w:t>
      </w:r>
      <w:r>
        <w:rPr>
          <w:rFonts w:hint="eastAsia" w:hAnsi="宋体"/>
          <w:bCs/>
          <w:color w:val="auto"/>
          <w:highlight w:val="none"/>
        </w:rPr>
        <w:t xml:space="preserve">.3 </w:t>
      </w:r>
      <w:r>
        <w:rPr>
          <w:rFonts w:hint="eastAsia" w:hAnsi="宋体"/>
          <w:color w:val="auto"/>
          <w:highlight w:val="none"/>
        </w:rPr>
        <w:t>计量单位应使用我国法定计量单位，未列明时应默认为我国法定计量单位。</w:t>
      </w:r>
    </w:p>
    <w:p w14:paraId="6BCFE7D3">
      <w:pPr>
        <w:pStyle w:val="13"/>
        <w:keepNext w:val="0"/>
        <w:keepLines w:val="0"/>
        <w:pageBreakBefore w:val="0"/>
        <w:kinsoku/>
        <w:wordWrap/>
        <w:overflowPunct/>
        <w:topLinePunct w:val="0"/>
        <w:autoSpaceDE/>
        <w:bidi w:val="0"/>
        <w:adjustRightInd w:val="0"/>
        <w:snapToGrid w:val="0"/>
        <w:spacing w:line="240" w:lineRule="auto"/>
        <w:ind w:firstLine="420" w:firstLineChars="200"/>
        <w:textAlignment w:val="auto"/>
        <w:rPr>
          <w:rFonts w:hAnsi="宋体"/>
          <w:color w:val="auto"/>
          <w:highlight w:val="none"/>
        </w:rPr>
      </w:pPr>
      <w:r>
        <w:rPr>
          <w:rFonts w:hint="eastAsia" w:hAnsi="宋体"/>
          <w:color w:val="auto"/>
          <w:highlight w:val="none"/>
        </w:rPr>
        <w:t>1</w:t>
      </w:r>
      <w:r>
        <w:rPr>
          <w:rFonts w:hint="eastAsia" w:hAnsi="宋体"/>
          <w:color w:val="auto"/>
          <w:highlight w:val="none"/>
          <w:lang w:val="en-US" w:eastAsia="zh-CN"/>
        </w:rPr>
        <w:t>2</w:t>
      </w:r>
      <w:r>
        <w:rPr>
          <w:rFonts w:hint="eastAsia" w:hAnsi="宋体"/>
          <w:color w:val="auto"/>
          <w:highlight w:val="none"/>
        </w:rPr>
        <w:t>.4 响应文件应采用书面形式，电报、传真、电子邮件形式的响应文件概不接受。</w:t>
      </w:r>
    </w:p>
    <w:p w14:paraId="69B06EA0">
      <w:pPr>
        <w:keepNext w:val="0"/>
        <w:keepLines w:val="0"/>
        <w:pageBreakBefore w:val="0"/>
        <w:kinsoku/>
        <w:wordWrap/>
        <w:overflowPunct/>
        <w:topLinePunct w:val="0"/>
        <w:autoSpaceDE/>
        <w:bidi w:val="0"/>
        <w:adjustRightInd w:val="0"/>
        <w:snapToGrid w:val="0"/>
        <w:spacing w:line="24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2</w:t>
      </w:r>
      <w:r>
        <w:rPr>
          <w:rFonts w:hint="eastAsia" w:ascii="宋体" w:hAnsi="宋体"/>
          <w:color w:val="auto"/>
          <w:szCs w:val="21"/>
          <w:highlight w:val="none"/>
        </w:rPr>
        <w:t>.5 供应商应按采购文件中提供的响应文件格式填写。</w:t>
      </w:r>
    </w:p>
    <w:p w14:paraId="4C5B1D04">
      <w:pPr>
        <w:keepNext w:val="0"/>
        <w:keepLines w:val="0"/>
        <w:pageBreakBefore w:val="0"/>
        <w:kinsoku/>
        <w:wordWrap/>
        <w:overflowPunct/>
        <w:topLinePunct w:val="0"/>
        <w:autoSpaceDE/>
        <w:bidi w:val="0"/>
        <w:adjustRightInd w:val="0"/>
        <w:snapToGrid w:val="0"/>
        <w:spacing w:line="240" w:lineRule="auto"/>
        <w:textAlignment w:val="auto"/>
        <w:rPr>
          <w:rFonts w:ascii="宋体" w:hAnsi="宋体"/>
          <w:b/>
          <w:bCs/>
          <w:color w:val="auto"/>
          <w:szCs w:val="21"/>
          <w:highlight w:val="none"/>
        </w:rPr>
      </w:pPr>
      <w:r>
        <w:rPr>
          <w:rFonts w:hint="eastAsia" w:ascii="宋体" w:hAnsi="宋体"/>
          <w:b/>
          <w:bCs/>
          <w:color w:val="auto"/>
          <w:szCs w:val="21"/>
          <w:highlight w:val="none"/>
        </w:rPr>
        <w:t>1</w:t>
      </w:r>
      <w:r>
        <w:rPr>
          <w:rFonts w:hint="eastAsia" w:ascii="宋体" w:hAnsi="宋体"/>
          <w:b/>
          <w:bCs/>
          <w:color w:val="auto"/>
          <w:szCs w:val="21"/>
          <w:highlight w:val="none"/>
          <w:lang w:val="en-US" w:eastAsia="zh-CN"/>
        </w:rPr>
        <w:t>3</w:t>
      </w:r>
      <w:r>
        <w:rPr>
          <w:rFonts w:hint="eastAsia" w:ascii="宋体" w:hAnsi="宋体"/>
          <w:b/>
          <w:bCs/>
          <w:color w:val="auto"/>
          <w:szCs w:val="21"/>
          <w:highlight w:val="none"/>
        </w:rPr>
        <w:t>.</w:t>
      </w:r>
      <w:r>
        <w:rPr>
          <w:rFonts w:hint="eastAsia" w:ascii="宋体" w:hAnsi="宋体"/>
          <w:b/>
          <w:color w:val="auto"/>
          <w:szCs w:val="21"/>
          <w:highlight w:val="none"/>
        </w:rPr>
        <w:t>响应文件</w:t>
      </w:r>
      <w:r>
        <w:rPr>
          <w:rFonts w:hint="eastAsia" w:ascii="宋体" w:hAnsi="宋体"/>
          <w:b/>
          <w:bCs/>
          <w:color w:val="auto"/>
          <w:szCs w:val="21"/>
          <w:highlight w:val="none"/>
        </w:rPr>
        <w:t>的组成</w:t>
      </w:r>
    </w:p>
    <w:p w14:paraId="0528946A">
      <w:pPr>
        <w:keepNext w:val="0"/>
        <w:keepLines w:val="0"/>
        <w:pageBreakBefore w:val="0"/>
        <w:kinsoku/>
        <w:wordWrap/>
        <w:overflowPunct/>
        <w:topLinePunct w:val="0"/>
        <w:autoSpaceDE/>
        <w:bidi w:val="0"/>
        <w:adjustRightInd w:val="0"/>
        <w:snapToGrid w:val="0"/>
        <w:spacing w:line="240" w:lineRule="auto"/>
        <w:ind w:firstLine="420" w:firstLineChars="200"/>
        <w:jc w:val="left"/>
        <w:textAlignment w:val="auto"/>
        <w:rPr>
          <w:rFonts w:ascii="宋体" w:hAnsi="宋体"/>
          <w:color w:val="auto"/>
          <w:szCs w:val="21"/>
          <w:highlight w:val="none"/>
        </w:rPr>
      </w:pPr>
      <w:r>
        <w:rPr>
          <w:rFonts w:hint="eastAsia" w:ascii="宋体" w:hAnsi="宋体"/>
          <w:color w:val="auto"/>
          <w:highlight w:val="none"/>
        </w:rPr>
        <w:t>1</w:t>
      </w:r>
      <w:r>
        <w:rPr>
          <w:rFonts w:hint="eastAsia" w:ascii="宋体" w:hAnsi="宋体"/>
          <w:color w:val="auto"/>
          <w:highlight w:val="none"/>
          <w:lang w:val="en-US" w:eastAsia="zh-CN"/>
        </w:rPr>
        <w:t>3</w:t>
      </w:r>
      <w:r>
        <w:rPr>
          <w:rFonts w:hint="eastAsia" w:ascii="宋体" w:hAnsi="宋体"/>
          <w:color w:val="auto"/>
          <w:highlight w:val="none"/>
        </w:rPr>
        <w:t>.1</w:t>
      </w:r>
      <w:r>
        <w:rPr>
          <w:rFonts w:hint="eastAsia" w:hAnsi="宋体"/>
          <w:color w:val="auto"/>
          <w:highlight w:val="none"/>
        </w:rPr>
        <w:t xml:space="preserve"> 响应文件包括下列内容：</w:t>
      </w:r>
      <w:r>
        <w:rPr>
          <w:rFonts w:hint="eastAsia" w:ascii="宋体" w:hAnsi="宋体"/>
          <w:color w:val="auto"/>
          <w:szCs w:val="21"/>
          <w:highlight w:val="none"/>
        </w:rPr>
        <w:t xml:space="preserve"> </w:t>
      </w:r>
    </w:p>
    <w:p w14:paraId="2809057E">
      <w:pPr>
        <w:pStyle w:val="13"/>
        <w:keepNext w:val="0"/>
        <w:keepLines w:val="0"/>
        <w:pageBreakBefore w:val="0"/>
        <w:numPr>
          <w:ilvl w:val="0"/>
          <w:numId w:val="2"/>
        </w:numPr>
        <w:kinsoku/>
        <w:wordWrap/>
        <w:overflowPunct/>
        <w:topLinePunct w:val="0"/>
        <w:autoSpaceDE/>
        <w:bidi w:val="0"/>
        <w:adjustRightInd w:val="0"/>
        <w:snapToGrid w:val="0"/>
        <w:spacing w:line="240" w:lineRule="auto"/>
        <w:ind w:firstLine="420" w:firstLineChars="200"/>
        <w:textAlignment w:val="auto"/>
        <w:rPr>
          <w:rFonts w:hint="eastAsia" w:hAnsi="宋体"/>
          <w:color w:val="auto"/>
          <w:highlight w:val="none"/>
        </w:rPr>
      </w:pPr>
      <w:r>
        <w:rPr>
          <w:rFonts w:hint="eastAsia" w:hAnsi="宋体"/>
          <w:color w:val="auto"/>
          <w:highlight w:val="none"/>
        </w:rPr>
        <w:t>响应声明</w:t>
      </w:r>
    </w:p>
    <w:p w14:paraId="37D63B1D">
      <w:pPr>
        <w:pStyle w:val="13"/>
        <w:keepNext w:val="0"/>
        <w:keepLines w:val="0"/>
        <w:pageBreakBefore w:val="0"/>
        <w:numPr>
          <w:ilvl w:val="0"/>
          <w:numId w:val="2"/>
        </w:numPr>
        <w:kinsoku/>
        <w:wordWrap/>
        <w:overflowPunct/>
        <w:topLinePunct w:val="0"/>
        <w:autoSpaceDE/>
        <w:bidi w:val="0"/>
        <w:adjustRightInd w:val="0"/>
        <w:snapToGrid w:val="0"/>
        <w:spacing w:line="240" w:lineRule="auto"/>
        <w:ind w:firstLine="420" w:firstLineChars="200"/>
        <w:textAlignment w:val="auto"/>
        <w:rPr>
          <w:rFonts w:hint="eastAsia" w:ascii="宋体" w:hAnsi="宋体" w:eastAsia="宋体"/>
          <w:color w:val="auto"/>
          <w:highlight w:val="none"/>
          <w:lang w:eastAsia="zh-CN"/>
        </w:rPr>
      </w:pPr>
      <w:r>
        <w:rPr>
          <w:rFonts w:hint="eastAsia" w:ascii="宋体" w:hAnsi="宋体" w:eastAsia="宋体"/>
          <w:color w:val="auto"/>
          <w:highlight w:val="none"/>
        </w:rPr>
        <w:t>供应商资格证明</w:t>
      </w:r>
      <w:r>
        <w:rPr>
          <w:rFonts w:hint="eastAsia" w:ascii="宋体" w:hAnsi="宋体" w:eastAsia="宋体"/>
          <w:color w:val="auto"/>
          <w:highlight w:val="none"/>
          <w:lang w:eastAsia="zh-CN"/>
        </w:rPr>
        <w:t>材料</w:t>
      </w:r>
    </w:p>
    <w:p w14:paraId="6408F408">
      <w:pPr>
        <w:pStyle w:val="13"/>
        <w:keepNext w:val="0"/>
        <w:keepLines w:val="0"/>
        <w:pageBreakBefore w:val="0"/>
        <w:numPr>
          <w:ilvl w:val="0"/>
          <w:numId w:val="2"/>
        </w:numPr>
        <w:kinsoku/>
        <w:wordWrap/>
        <w:overflowPunct/>
        <w:topLinePunct w:val="0"/>
        <w:autoSpaceDE/>
        <w:bidi w:val="0"/>
        <w:adjustRightInd w:val="0"/>
        <w:snapToGrid w:val="0"/>
        <w:spacing w:line="240" w:lineRule="auto"/>
        <w:ind w:firstLine="420" w:firstLineChars="200"/>
        <w:textAlignment w:val="auto"/>
        <w:rPr>
          <w:rFonts w:hint="eastAsia" w:ascii="宋体" w:hAnsi="宋体" w:eastAsia="宋体"/>
          <w:color w:val="auto"/>
          <w:highlight w:val="none"/>
          <w:lang w:eastAsia="zh-CN"/>
        </w:rPr>
      </w:pPr>
      <w:r>
        <w:rPr>
          <w:rFonts w:hint="eastAsia" w:ascii="宋体" w:hAnsi="宋体" w:eastAsia="宋体"/>
          <w:color w:val="auto"/>
          <w:highlight w:val="none"/>
        </w:rPr>
        <w:t>报价一览表</w:t>
      </w:r>
      <w:r>
        <w:rPr>
          <w:rFonts w:hint="eastAsia" w:ascii="宋体" w:hAnsi="宋体" w:eastAsia="宋体"/>
          <w:color w:val="auto"/>
          <w:highlight w:val="none"/>
          <w:lang w:eastAsia="zh-CN"/>
        </w:rPr>
        <w:t>及报价文件</w:t>
      </w:r>
    </w:p>
    <w:p w14:paraId="09F9850E">
      <w:pPr>
        <w:pStyle w:val="13"/>
        <w:keepNext w:val="0"/>
        <w:keepLines w:val="0"/>
        <w:pageBreakBefore w:val="0"/>
        <w:numPr>
          <w:ilvl w:val="0"/>
          <w:numId w:val="2"/>
        </w:numPr>
        <w:kinsoku/>
        <w:wordWrap/>
        <w:overflowPunct/>
        <w:topLinePunct w:val="0"/>
        <w:autoSpaceDE/>
        <w:bidi w:val="0"/>
        <w:adjustRightInd w:val="0"/>
        <w:snapToGrid w:val="0"/>
        <w:spacing w:line="240" w:lineRule="auto"/>
        <w:ind w:firstLine="420" w:firstLineChars="200"/>
        <w:textAlignment w:val="auto"/>
        <w:rPr>
          <w:rFonts w:hint="eastAsia" w:ascii="宋体" w:hAnsi="宋体" w:eastAsia="宋体"/>
          <w:color w:val="auto"/>
          <w:highlight w:val="none"/>
        </w:rPr>
      </w:pPr>
      <w:r>
        <w:rPr>
          <w:rFonts w:hint="eastAsia" w:ascii="宋体" w:hAnsi="宋体" w:eastAsia="宋体"/>
          <w:color w:val="auto"/>
          <w:highlight w:val="none"/>
        </w:rPr>
        <w:t>技术/商务响应与偏离表</w:t>
      </w:r>
    </w:p>
    <w:p w14:paraId="73B0C405">
      <w:pPr>
        <w:pStyle w:val="13"/>
        <w:keepNext w:val="0"/>
        <w:keepLines w:val="0"/>
        <w:pageBreakBefore w:val="0"/>
        <w:numPr>
          <w:ilvl w:val="0"/>
          <w:numId w:val="2"/>
        </w:numPr>
        <w:kinsoku/>
        <w:wordWrap/>
        <w:overflowPunct/>
        <w:topLinePunct w:val="0"/>
        <w:autoSpaceDE/>
        <w:bidi w:val="0"/>
        <w:adjustRightInd w:val="0"/>
        <w:snapToGrid w:val="0"/>
        <w:spacing w:line="240" w:lineRule="auto"/>
        <w:ind w:firstLine="420" w:firstLineChars="200"/>
        <w:textAlignment w:val="auto"/>
        <w:rPr>
          <w:rFonts w:hint="eastAsia" w:ascii="宋体" w:hAnsi="宋体" w:eastAsia="宋体"/>
          <w:color w:val="auto"/>
          <w:highlight w:val="none"/>
          <w:lang w:val="en-US" w:eastAsia="zh-CN"/>
        </w:rPr>
      </w:pPr>
      <w:r>
        <w:rPr>
          <w:rFonts w:hint="eastAsia" w:ascii="宋体" w:hAnsi="宋体" w:eastAsia="宋体"/>
          <w:color w:val="auto"/>
          <w:highlight w:val="none"/>
          <w:lang w:eastAsia="zh-CN"/>
        </w:rPr>
        <w:t>类似项目业绩</w:t>
      </w:r>
    </w:p>
    <w:p w14:paraId="0CEEC761">
      <w:pPr>
        <w:pStyle w:val="13"/>
        <w:keepNext w:val="0"/>
        <w:keepLines w:val="0"/>
        <w:pageBreakBefore w:val="0"/>
        <w:numPr>
          <w:ilvl w:val="0"/>
          <w:numId w:val="2"/>
        </w:numPr>
        <w:kinsoku/>
        <w:wordWrap/>
        <w:overflowPunct/>
        <w:topLinePunct w:val="0"/>
        <w:autoSpaceDE/>
        <w:bidi w:val="0"/>
        <w:adjustRightInd w:val="0"/>
        <w:snapToGrid w:val="0"/>
        <w:spacing w:line="240" w:lineRule="auto"/>
        <w:ind w:firstLine="420" w:firstLineChars="200"/>
        <w:textAlignment w:val="auto"/>
        <w:rPr>
          <w:rFonts w:hint="eastAsia" w:ascii="宋体" w:hAnsi="宋体" w:eastAsia="宋体"/>
          <w:color w:val="auto"/>
          <w:highlight w:val="none"/>
        </w:rPr>
      </w:pPr>
      <w:r>
        <w:rPr>
          <w:rFonts w:hint="eastAsia" w:ascii="宋体" w:hAnsi="宋体" w:eastAsia="宋体"/>
          <w:color w:val="auto"/>
          <w:highlight w:val="none"/>
          <w:lang w:val="en-US" w:eastAsia="zh-CN"/>
        </w:rPr>
        <w:t>供应商认为需要提供的其它资料</w:t>
      </w:r>
    </w:p>
    <w:p w14:paraId="5708A778">
      <w:pPr>
        <w:keepNext w:val="0"/>
        <w:keepLines w:val="0"/>
        <w:pageBreakBefore w:val="0"/>
        <w:kinsoku/>
        <w:wordWrap/>
        <w:overflowPunct/>
        <w:topLinePunct w:val="0"/>
        <w:autoSpaceDE/>
        <w:bidi w:val="0"/>
        <w:adjustRightInd w:val="0"/>
        <w:snapToGrid w:val="0"/>
        <w:spacing w:line="240" w:lineRule="auto"/>
        <w:ind w:firstLine="420" w:firstLineChars="200"/>
        <w:textAlignment w:val="auto"/>
        <w:rPr>
          <w:rFonts w:ascii="宋体" w:hAnsi="宋体"/>
          <w:color w:val="auto"/>
          <w:szCs w:val="21"/>
          <w:highlight w:val="none"/>
        </w:rPr>
      </w:pPr>
      <w:r>
        <w:rPr>
          <w:rFonts w:hint="eastAsia" w:ascii="宋体" w:hAnsi="宋体"/>
          <w:color w:val="auto"/>
          <w:highlight w:val="none"/>
        </w:rPr>
        <w:t>1</w:t>
      </w:r>
      <w:r>
        <w:rPr>
          <w:rFonts w:hint="eastAsia" w:ascii="宋体" w:hAnsi="宋体"/>
          <w:color w:val="auto"/>
          <w:highlight w:val="none"/>
          <w:lang w:val="en-US" w:eastAsia="zh-CN"/>
        </w:rPr>
        <w:t>3</w:t>
      </w:r>
      <w:r>
        <w:rPr>
          <w:rFonts w:hint="eastAsia" w:ascii="宋体" w:hAnsi="宋体"/>
          <w:color w:val="auto"/>
          <w:highlight w:val="none"/>
        </w:rPr>
        <w:t>.2</w:t>
      </w:r>
      <w:r>
        <w:rPr>
          <w:rFonts w:hint="eastAsia" w:ascii="宋体" w:hAnsi="宋体"/>
          <w:color w:val="auto"/>
          <w:szCs w:val="21"/>
          <w:highlight w:val="none"/>
        </w:rPr>
        <w:t>供应商无论成交与否，其响应文件不予退还。</w:t>
      </w:r>
    </w:p>
    <w:p w14:paraId="7CEB00E6">
      <w:pPr>
        <w:keepNext w:val="0"/>
        <w:keepLines w:val="0"/>
        <w:pageBreakBefore w:val="0"/>
        <w:kinsoku/>
        <w:wordWrap/>
        <w:overflowPunct/>
        <w:topLinePunct w:val="0"/>
        <w:autoSpaceDE/>
        <w:bidi w:val="0"/>
        <w:adjustRightInd w:val="0"/>
        <w:snapToGrid w:val="0"/>
        <w:spacing w:line="240" w:lineRule="auto"/>
        <w:textAlignment w:val="auto"/>
        <w:rPr>
          <w:rFonts w:ascii="宋体" w:hAnsi="宋体"/>
          <w:b/>
          <w:bCs/>
          <w:color w:val="auto"/>
          <w:szCs w:val="21"/>
          <w:highlight w:val="none"/>
        </w:rPr>
      </w:pPr>
      <w:r>
        <w:rPr>
          <w:rFonts w:hint="eastAsia" w:ascii="宋体" w:hAnsi="宋体"/>
          <w:b/>
          <w:bCs/>
          <w:color w:val="auto"/>
          <w:szCs w:val="21"/>
          <w:highlight w:val="none"/>
        </w:rPr>
        <w:t>1</w:t>
      </w:r>
      <w:r>
        <w:rPr>
          <w:rFonts w:hint="eastAsia" w:ascii="宋体" w:hAnsi="宋体"/>
          <w:b/>
          <w:bCs/>
          <w:color w:val="auto"/>
          <w:szCs w:val="21"/>
          <w:highlight w:val="none"/>
          <w:lang w:val="en-US" w:eastAsia="zh-CN"/>
        </w:rPr>
        <w:t>4</w:t>
      </w:r>
      <w:r>
        <w:rPr>
          <w:rFonts w:hint="eastAsia" w:ascii="宋体" w:hAnsi="宋体"/>
          <w:b/>
          <w:bCs/>
          <w:color w:val="auto"/>
          <w:szCs w:val="21"/>
          <w:highlight w:val="none"/>
        </w:rPr>
        <w:t>.报价</w:t>
      </w:r>
    </w:p>
    <w:p w14:paraId="1AB2B734">
      <w:pPr>
        <w:keepNext w:val="0"/>
        <w:keepLines w:val="0"/>
        <w:pageBreakBefore w:val="0"/>
        <w:kinsoku/>
        <w:wordWrap/>
        <w:overflowPunct/>
        <w:topLinePunct w:val="0"/>
        <w:autoSpaceDE/>
        <w:bidi w:val="0"/>
        <w:adjustRightInd w:val="0"/>
        <w:snapToGrid w:val="0"/>
        <w:spacing w:line="24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.1供应商应当根据采购文件要求和范围，以</w:t>
      </w:r>
      <w:r>
        <w:rPr>
          <w:rFonts w:hint="eastAsia" w:ascii="宋体" w:hAnsi="宋体"/>
          <w:bCs/>
          <w:color w:val="auto"/>
          <w:szCs w:val="21"/>
          <w:highlight w:val="none"/>
        </w:rPr>
        <w:t>人民币</w:t>
      </w:r>
      <w:r>
        <w:rPr>
          <w:rFonts w:hint="eastAsia" w:ascii="宋体" w:hAnsi="宋体"/>
          <w:color w:val="auto"/>
          <w:szCs w:val="21"/>
          <w:highlight w:val="none"/>
        </w:rPr>
        <w:t>报价，以元为单位，保留小数点后两位。</w:t>
      </w:r>
    </w:p>
    <w:p w14:paraId="713EA766">
      <w:pPr>
        <w:pStyle w:val="35"/>
        <w:keepNext w:val="0"/>
        <w:keepLines w:val="0"/>
        <w:pageBreakBefore w:val="0"/>
        <w:kinsoku/>
        <w:wordWrap/>
        <w:overflowPunct/>
        <w:topLinePunct w:val="0"/>
        <w:autoSpaceDE/>
        <w:bidi w:val="0"/>
        <w:adjustRightInd w:val="0"/>
        <w:snapToGrid w:val="0"/>
        <w:spacing w:line="240" w:lineRule="auto"/>
        <w:ind w:firstLine="420" w:firstLineChars="200"/>
        <w:textAlignment w:val="auto"/>
        <w:rPr>
          <w:rFonts w:ascii="宋体"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4</w:t>
      </w:r>
      <w:r>
        <w:rPr>
          <w:rFonts w:hint="eastAsia" w:ascii="宋体" w:hAnsi="宋体"/>
          <w:color w:val="auto"/>
          <w:highlight w:val="none"/>
        </w:rPr>
        <w:t>.2供应商应按</w:t>
      </w:r>
      <w:r>
        <w:rPr>
          <w:rFonts w:hint="eastAsia" w:ascii="宋体" w:hAnsi="宋体"/>
          <w:color w:val="auto"/>
          <w:highlight w:val="none"/>
          <w:lang w:eastAsia="zh-CN"/>
        </w:rPr>
        <w:t>第四章</w:t>
      </w:r>
      <w:r>
        <w:rPr>
          <w:rFonts w:hint="eastAsia" w:ascii="宋体" w:hAnsi="宋体"/>
          <w:color w:val="auto"/>
          <w:highlight w:val="none"/>
        </w:rPr>
        <w:t>“采购需求”要求及</w:t>
      </w:r>
      <w:r>
        <w:rPr>
          <w:rFonts w:hint="eastAsia" w:ascii="宋体" w:hAnsi="宋体"/>
          <w:color w:val="auto"/>
          <w:highlight w:val="none"/>
          <w:lang w:eastAsia="zh-CN"/>
        </w:rPr>
        <w:t>第五章</w:t>
      </w:r>
      <w:r>
        <w:rPr>
          <w:rFonts w:hint="eastAsia" w:ascii="宋体" w:hAnsi="宋体"/>
          <w:color w:val="auto"/>
          <w:highlight w:val="none"/>
        </w:rPr>
        <w:t>“响应文件组成”格式填写。供应商在</w:t>
      </w:r>
      <w:r>
        <w:rPr>
          <w:rFonts w:hint="eastAsia" w:ascii="宋体" w:hAnsi="宋体"/>
          <w:bCs/>
          <w:color w:val="auto"/>
          <w:highlight w:val="none"/>
        </w:rPr>
        <w:t>本章第9.1</w:t>
      </w:r>
      <w:r>
        <w:rPr>
          <w:rFonts w:hint="eastAsia" w:ascii="宋体" w:hAnsi="宋体" w:cs="宋体"/>
          <w:color w:val="auto"/>
          <w:highlight w:val="none"/>
          <w:lang w:val="zh-CN"/>
        </w:rPr>
        <w:t>款</w:t>
      </w:r>
      <w:r>
        <w:rPr>
          <w:rFonts w:hint="eastAsia" w:ascii="宋体" w:hAnsi="宋体"/>
          <w:bCs/>
          <w:color w:val="auto"/>
          <w:highlight w:val="none"/>
        </w:rPr>
        <w:t>规定的</w:t>
      </w:r>
      <w:r>
        <w:rPr>
          <w:rFonts w:hint="eastAsia" w:ascii="宋体" w:hAnsi="宋体" w:cs="宋体"/>
          <w:color w:val="auto"/>
          <w:highlight w:val="none"/>
        </w:rPr>
        <w:t>提交响应文件截止之日前</w:t>
      </w:r>
      <w:r>
        <w:rPr>
          <w:rFonts w:hint="eastAsia" w:ascii="宋体" w:hAnsi="宋体"/>
          <w:color w:val="auto"/>
          <w:highlight w:val="none"/>
        </w:rPr>
        <w:t>修改报价一览表中的报价，应同时修改其按</w:t>
      </w:r>
      <w:r>
        <w:rPr>
          <w:rFonts w:hint="eastAsia" w:ascii="宋体" w:hAnsi="宋体"/>
          <w:color w:val="auto"/>
          <w:highlight w:val="none"/>
          <w:lang w:eastAsia="zh-CN"/>
        </w:rPr>
        <w:t>第五章</w:t>
      </w:r>
      <w:r>
        <w:rPr>
          <w:rFonts w:hint="eastAsia" w:ascii="宋体" w:hAnsi="宋体"/>
          <w:color w:val="auto"/>
          <w:highlight w:val="none"/>
        </w:rPr>
        <w:t>要求填写的相应表格中的报价。</w:t>
      </w:r>
      <w:r>
        <w:rPr>
          <w:rFonts w:hint="eastAsia" w:ascii="宋体" w:hAnsi="宋体" w:cs="宋体"/>
          <w:color w:val="auto"/>
          <w:highlight w:val="none"/>
        </w:rPr>
        <w:t>此修改须符合本章第1</w:t>
      </w:r>
      <w:r>
        <w:rPr>
          <w:rFonts w:hint="eastAsia" w:ascii="宋体" w:hAnsi="宋体" w:cs="宋体"/>
          <w:color w:val="auto"/>
          <w:highlight w:val="none"/>
          <w:lang w:val="en-US" w:eastAsia="zh-CN"/>
        </w:rPr>
        <w:t>9</w:t>
      </w:r>
      <w:r>
        <w:rPr>
          <w:rFonts w:hint="eastAsia" w:ascii="宋体" w:hAnsi="宋体" w:cs="宋体"/>
          <w:color w:val="auto"/>
          <w:highlight w:val="none"/>
        </w:rPr>
        <w:t>.1款的有关要求。</w:t>
      </w:r>
    </w:p>
    <w:p w14:paraId="498450A9">
      <w:pPr>
        <w:pStyle w:val="13"/>
        <w:keepNext w:val="0"/>
        <w:keepLines w:val="0"/>
        <w:pageBreakBefore w:val="0"/>
        <w:kinsoku/>
        <w:wordWrap/>
        <w:overflowPunct/>
        <w:topLinePunct w:val="0"/>
        <w:autoSpaceDE/>
        <w:bidi w:val="0"/>
        <w:adjustRightInd w:val="0"/>
        <w:snapToGrid w:val="0"/>
        <w:spacing w:line="240" w:lineRule="auto"/>
        <w:ind w:firstLine="420" w:firstLineChars="200"/>
        <w:textAlignment w:val="auto"/>
        <w:rPr>
          <w:rFonts w:hAnsi="宋体"/>
          <w:color w:val="auto"/>
          <w:highlight w:val="none"/>
        </w:rPr>
      </w:pPr>
      <w:r>
        <w:rPr>
          <w:rFonts w:hint="eastAsia" w:hAnsi="宋体"/>
          <w:color w:val="auto"/>
          <w:highlight w:val="none"/>
        </w:rPr>
        <w:t>1</w:t>
      </w:r>
      <w:r>
        <w:rPr>
          <w:rFonts w:hint="eastAsia" w:hAnsi="宋体"/>
          <w:color w:val="auto"/>
          <w:highlight w:val="none"/>
          <w:lang w:val="en-US" w:eastAsia="zh-CN"/>
        </w:rPr>
        <w:t>4</w:t>
      </w:r>
      <w:r>
        <w:rPr>
          <w:rFonts w:hint="eastAsia" w:hAnsi="宋体"/>
          <w:color w:val="auto"/>
          <w:highlight w:val="none"/>
        </w:rPr>
        <w:t>.3</w:t>
      </w:r>
      <w:r>
        <w:rPr>
          <w:rFonts w:hint="eastAsia" w:hAnsi="宋体" w:cs="宋体"/>
          <w:color w:val="auto"/>
          <w:kern w:val="0"/>
          <w:highlight w:val="none"/>
          <w:lang w:val="zh-CN"/>
        </w:rPr>
        <w:t>供应商</w:t>
      </w:r>
      <w:r>
        <w:rPr>
          <w:rFonts w:hint="eastAsia" w:hAnsi="宋体"/>
          <w:color w:val="auto"/>
          <w:highlight w:val="none"/>
        </w:rPr>
        <w:t>的报价不得超过采购项目预算，采购项目预算或其计算方法见</w:t>
      </w:r>
      <w:r>
        <w:rPr>
          <w:rFonts w:hint="eastAsia" w:hAnsi="宋体"/>
          <w:b/>
          <w:color w:val="auto"/>
          <w:highlight w:val="none"/>
        </w:rPr>
        <w:t>供应商须知前附表</w:t>
      </w:r>
      <w:r>
        <w:rPr>
          <w:rFonts w:hint="eastAsia" w:hAnsi="宋体"/>
          <w:color w:val="auto"/>
          <w:highlight w:val="none"/>
        </w:rPr>
        <w:t>。</w:t>
      </w:r>
    </w:p>
    <w:p w14:paraId="4BEE39DC">
      <w:pPr>
        <w:keepNext w:val="0"/>
        <w:keepLines w:val="0"/>
        <w:pageBreakBefore w:val="0"/>
        <w:kinsoku/>
        <w:wordWrap/>
        <w:overflowPunct/>
        <w:topLinePunct w:val="0"/>
        <w:autoSpaceDE/>
        <w:bidi w:val="0"/>
        <w:adjustRightInd w:val="0"/>
        <w:snapToGrid w:val="0"/>
        <w:spacing w:line="240" w:lineRule="auto"/>
        <w:textAlignment w:val="auto"/>
        <w:rPr>
          <w:rFonts w:ascii="宋体" w:hAnsi="宋体"/>
          <w:b/>
          <w:bCs/>
          <w:color w:val="auto"/>
          <w:szCs w:val="21"/>
          <w:highlight w:val="none"/>
        </w:rPr>
      </w:pPr>
      <w:r>
        <w:rPr>
          <w:rFonts w:hint="eastAsia" w:ascii="宋体" w:hAnsi="宋体"/>
          <w:b/>
          <w:bCs/>
          <w:color w:val="auto"/>
          <w:szCs w:val="21"/>
          <w:highlight w:val="none"/>
        </w:rPr>
        <w:t>1</w:t>
      </w:r>
      <w:r>
        <w:rPr>
          <w:rFonts w:hint="eastAsia" w:ascii="宋体" w:hAnsi="宋体"/>
          <w:b/>
          <w:bCs/>
          <w:color w:val="auto"/>
          <w:szCs w:val="21"/>
          <w:highlight w:val="none"/>
          <w:lang w:val="en-US" w:eastAsia="zh-CN"/>
        </w:rPr>
        <w:t>5</w:t>
      </w:r>
      <w:r>
        <w:rPr>
          <w:rFonts w:hint="eastAsia" w:ascii="宋体" w:hAnsi="宋体"/>
          <w:b/>
          <w:bCs/>
          <w:color w:val="auto"/>
          <w:szCs w:val="21"/>
          <w:highlight w:val="none"/>
        </w:rPr>
        <w:t>.保证金</w:t>
      </w:r>
    </w:p>
    <w:p w14:paraId="3DFA08AD">
      <w:pPr>
        <w:pStyle w:val="13"/>
        <w:keepNext w:val="0"/>
        <w:keepLines w:val="0"/>
        <w:pageBreakBefore w:val="0"/>
        <w:kinsoku/>
        <w:wordWrap/>
        <w:overflowPunct/>
        <w:topLinePunct w:val="0"/>
        <w:autoSpaceDE/>
        <w:bidi w:val="0"/>
        <w:adjustRightInd w:val="0"/>
        <w:snapToGrid w:val="0"/>
        <w:spacing w:line="240" w:lineRule="auto"/>
        <w:ind w:firstLine="420" w:firstLineChars="200"/>
        <w:textAlignment w:val="auto"/>
        <w:rPr>
          <w:rFonts w:hAnsi="宋体"/>
          <w:bCs/>
          <w:color w:val="auto"/>
          <w:highlight w:val="none"/>
        </w:rPr>
      </w:pPr>
      <w:r>
        <w:rPr>
          <w:rFonts w:hint="eastAsia" w:hAnsi="宋体"/>
          <w:color w:val="auto"/>
          <w:highlight w:val="none"/>
        </w:rPr>
        <w:t>1</w:t>
      </w:r>
      <w:r>
        <w:rPr>
          <w:rFonts w:hint="eastAsia" w:hAnsi="宋体"/>
          <w:color w:val="auto"/>
          <w:highlight w:val="none"/>
          <w:lang w:val="en-US" w:eastAsia="zh-CN"/>
        </w:rPr>
        <w:t>5</w:t>
      </w:r>
      <w:r>
        <w:rPr>
          <w:rFonts w:hint="eastAsia" w:hAnsi="宋体"/>
          <w:color w:val="auto"/>
          <w:highlight w:val="none"/>
        </w:rPr>
        <w:t>.1</w:t>
      </w:r>
      <w:r>
        <w:rPr>
          <w:rFonts w:hint="eastAsia" w:hAnsi="宋体"/>
          <w:b/>
          <w:color w:val="auto"/>
          <w:highlight w:val="none"/>
        </w:rPr>
        <w:t>供应商须知前附表</w:t>
      </w:r>
      <w:r>
        <w:rPr>
          <w:rFonts w:hint="eastAsia" w:hAnsi="宋体"/>
          <w:color w:val="auto"/>
          <w:highlight w:val="none"/>
        </w:rPr>
        <w:t>规定交纳</w:t>
      </w:r>
      <w:r>
        <w:rPr>
          <w:rFonts w:hint="eastAsia" w:hAnsi="宋体"/>
          <w:bCs/>
          <w:color w:val="auto"/>
          <w:highlight w:val="none"/>
        </w:rPr>
        <w:t>保证金的</w:t>
      </w:r>
      <w:r>
        <w:rPr>
          <w:rFonts w:hint="eastAsia" w:hAnsi="宋体"/>
          <w:color w:val="auto"/>
          <w:highlight w:val="none"/>
        </w:rPr>
        <w:t>，应按</w:t>
      </w:r>
      <w:r>
        <w:rPr>
          <w:rFonts w:hint="eastAsia" w:hAnsi="宋体"/>
          <w:b/>
          <w:color w:val="auto"/>
          <w:highlight w:val="none"/>
        </w:rPr>
        <w:t>供应商须知前附表</w:t>
      </w:r>
      <w:r>
        <w:rPr>
          <w:rFonts w:hint="eastAsia" w:hAnsi="宋体"/>
          <w:color w:val="auto"/>
          <w:highlight w:val="none"/>
        </w:rPr>
        <w:t>规定的</w:t>
      </w:r>
      <w:r>
        <w:rPr>
          <w:rFonts w:hint="eastAsia" w:hAnsi="宋体"/>
          <w:bCs/>
          <w:color w:val="auto"/>
          <w:highlight w:val="none"/>
        </w:rPr>
        <w:t>保证金形式交纳</w:t>
      </w:r>
      <w:r>
        <w:rPr>
          <w:rFonts w:hint="eastAsia" w:hAnsi="宋体"/>
          <w:color w:val="auto"/>
          <w:highlight w:val="none"/>
        </w:rPr>
        <w:t>。</w:t>
      </w:r>
      <w:r>
        <w:rPr>
          <w:rFonts w:hint="eastAsia" w:hAnsi="宋体"/>
          <w:bCs/>
          <w:color w:val="auto"/>
          <w:highlight w:val="none"/>
        </w:rPr>
        <w:t>保证金有效期应当与</w:t>
      </w:r>
      <w:r>
        <w:rPr>
          <w:rFonts w:hint="eastAsia" w:hAnsi="宋体"/>
          <w:color w:val="auto"/>
          <w:highlight w:val="none"/>
        </w:rPr>
        <w:t>本章第1</w:t>
      </w:r>
      <w:r>
        <w:rPr>
          <w:rFonts w:hint="eastAsia" w:hAnsi="宋体"/>
          <w:color w:val="auto"/>
          <w:highlight w:val="none"/>
          <w:lang w:val="en-US" w:eastAsia="zh-CN"/>
        </w:rPr>
        <w:t>6</w:t>
      </w:r>
      <w:r>
        <w:rPr>
          <w:rFonts w:hint="eastAsia" w:hAnsi="宋体"/>
          <w:color w:val="auto"/>
          <w:highlight w:val="none"/>
        </w:rPr>
        <w:t>.1</w:t>
      </w:r>
      <w:r>
        <w:rPr>
          <w:rFonts w:hint="eastAsia" w:hAnsi="宋体" w:cs="宋体"/>
          <w:color w:val="auto"/>
          <w:kern w:val="0"/>
          <w:highlight w:val="none"/>
          <w:lang w:val="zh-CN"/>
        </w:rPr>
        <w:t>款</w:t>
      </w:r>
      <w:r>
        <w:rPr>
          <w:rFonts w:hint="eastAsia" w:hAnsi="宋体"/>
          <w:color w:val="auto"/>
          <w:highlight w:val="none"/>
        </w:rPr>
        <w:t>规定的</w:t>
      </w:r>
      <w:r>
        <w:rPr>
          <w:rFonts w:hint="eastAsia" w:hAnsi="宋体"/>
          <w:bCs/>
          <w:color w:val="auto"/>
          <w:highlight w:val="none"/>
        </w:rPr>
        <w:t>响应文件有效期一致。</w:t>
      </w:r>
    </w:p>
    <w:p w14:paraId="4D2E7B59">
      <w:pPr>
        <w:keepNext w:val="0"/>
        <w:keepLines w:val="0"/>
        <w:pageBreakBefore w:val="0"/>
        <w:kinsoku/>
        <w:wordWrap/>
        <w:overflowPunct/>
        <w:topLinePunct w:val="0"/>
        <w:autoSpaceDE/>
        <w:bidi w:val="0"/>
        <w:adjustRightInd w:val="0"/>
        <w:snapToGrid w:val="0"/>
        <w:spacing w:line="240" w:lineRule="auto"/>
        <w:ind w:firstLine="420" w:firstLineChars="200"/>
        <w:textAlignment w:val="auto"/>
        <w:rPr>
          <w:rFonts w:ascii="宋体" w:hAnsi="宋体"/>
          <w:b/>
          <w:color w:val="auto"/>
          <w:szCs w:val="21"/>
          <w:highlight w:val="none"/>
        </w:rPr>
      </w:pPr>
      <w:r>
        <w:rPr>
          <w:rFonts w:hint="eastAsia" w:ascii="宋体" w:hAnsi="宋体"/>
          <w:color w:val="auto"/>
          <w:szCs w:val="21"/>
          <w:highlight w:val="none"/>
          <w:lang w:val="en-US" w:eastAsia="zh-CN"/>
        </w:rPr>
        <w:t>15</w:t>
      </w:r>
      <w:r>
        <w:rPr>
          <w:rFonts w:hint="eastAsia" w:ascii="宋体" w:hAnsi="宋体"/>
          <w:color w:val="auto"/>
          <w:szCs w:val="21"/>
          <w:highlight w:val="none"/>
        </w:rPr>
        <w:t>.2</w:t>
      </w:r>
      <w:r>
        <w:rPr>
          <w:rFonts w:hint="eastAsia" w:ascii="宋体" w:hAnsi="宋体" w:cs="宋体"/>
          <w:color w:val="auto"/>
          <w:kern w:val="0"/>
          <w:szCs w:val="21"/>
          <w:highlight w:val="none"/>
          <w:lang w:val="zh-CN"/>
        </w:rPr>
        <w:t>供应商为联合体的，可以由联合体中的一方或者共同交纳保证金，其交纳的保证金，对联合体各方均具有约束力。</w:t>
      </w:r>
    </w:p>
    <w:p w14:paraId="6ED46465">
      <w:pPr>
        <w:pStyle w:val="13"/>
        <w:keepNext w:val="0"/>
        <w:keepLines w:val="0"/>
        <w:pageBreakBefore w:val="0"/>
        <w:kinsoku/>
        <w:wordWrap/>
        <w:overflowPunct/>
        <w:topLinePunct w:val="0"/>
        <w:autoSpaceDE/>
        <w:bidi w:val="0"/>
        <w:adjustRightInd w:val="0"/>
        <w:snapToGrid w:val="0"/>
        <w:spacing w:line="240" w:lineRule="auto"/>
        <w:ind w:firstLine="420" w:firstLineChars="200"/>
        <w:textAlignment w:val="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1</w:t>
      </w:r>
      <w:r>
        <w:rPr>
          <w:rFonts w:hint="eastAsia" w:ascii="宋体" w:hAnsi="宋体" w:eastAsia="宋体" w:cs="宋体"/>
          <w:color w:val="auto"/>
          <w:kern w:val="0"/>
          <w:sz w:val="21"/>
          <w:szCs w:val="21"/>
          <w:highlight w:val="none"/>
          <w:lang w:val="en-US" w:eastAsia="zh-CN" w:bidi="ar-SA"/>
        </w:rPr>
        <w:t>5</w:t>
      </w:r>
      <w:r>
        <w:rPr>
          <w:rFonts w:hint="eastAsia" w:ascii="宋体" w:hAnsi="宋体" w:eastAsia="宋体" w:cs="宋体"/>
          <w:color w:val="auto"/>
          <w:kern w:val="0"/>
          <w:sz w:val="21"/>
          <w:szCs w:val="21"/>
          <w:highlight w:val="none"/>
          <w:lang w:val="zh-CN" w:eastAsia="zh-CN" w:bidi="ar-SA"/>
        </w:rPr>
        <w:t>.3 供应商不按本章第</w:t>
      </w:r>
      <w:r>
        <w:rPr>
          <w:rFonts w:hint="eastAsia" w:ascii="宋体" w:hAnsi="宋体" w:eastAsia="宋体" w:cs="宋体"/>
          <w:color w:val="auto"/>
          <w:kern w:val="0"/>
          <w:sz w:val="21"/>
          <w:szCs w:val="21"/>
          <w:highlight w:val="none"/>
          <w:lang w:val="en-US" w:eastAsia="zh-CN" w:bidi="ar-SA"/>
        </w:rPr>
        <w:t>15.1款</w:t>
      </w:r>
      <w:r>
        <w:rPr>
          <w:rFonts w:hint="eastAsia" w:ascii="宋体" w:hAnsi="宋体" w:eastAsia="宋体" w:cs="宋体"/>
          <w:color w:val="auto"/>
          <w:kern w:val="0"/>
          <w:sz w:val="21"/>
          <w:szCs w:val="21"/>
          <w:highlight w:val="none"/>
          <w:lang w:val="zh-CN" w:eastAsia="zh-CN" w:bidi="ar-SA"/>
        </w:rPr>
        <w:t>要求提交</w:t>
      </w:r>
      <w:r>
        <w:rPr>
          <w:rFonts w:hint="eastAsia" w:hAnsi="宋体" w:cs="宋体"/>
          <w:color w:val="auto"/>
          <w:kern w:val="0"/>
          <w:sz w:val="21"/>
          <w:szCs w:val="21"/>
          <w:highlight w:val="none"/>
          <w:lang w:val="zh-CN" w:eastAsia="zh-CN" w:bidi="ar-SA"/>
        </w:rPr>
        <w:t>竞争性谈判</w:t>
      </w:r>
      <w:r>
        <w:rPr>
          <w:rFonts w:hint="eastAsia" w:ascii="宋体" w:hAnsi="宋体" w:eastAsia="宋体" w:cs="宋体"/>
          <w:color w:val="auto"/>
          <w:kern w:val="0"/>
          <w:sz w:val="21"/>
          <w:szCs w:val="21"/>
          <w:highlight w:val="none"/>
          <w:lang w:val="zh-CN" w:eastAsia="zh-CN" w:bidi="ar-SA"/>
        </w:rPr>
        <w:t>保证金的，评标小组将否决其响应文件。</w:t>
      </w:r>
    </w:p>
    <w:p w14:paraId="2FEAEAA9">
      <w:pPr>
        <w:pStyle w:val="13"/>
        <w:keepNext w:val="0"/>
        <w:keepLines w:val="0"/>
        <w:pageBreakBefore w:val="0"/>
        <w:tabs>
          <w:tab w:val="left" w:pos="6300"/>
        </w:tabs>
        <w:kinsoku/>
        <w:wordWrap/>
        <w:overflowPunct/>
        <w:topLinePunct w:val="0"/>
        <w:autoSpaceDE/>
        <w:bidi w:val="0"/>
        <w:adjustRightInd w:val="0"/>
        <w:snapToGrid w:val="0"/>
        <w:spacing w:line="240" w:lineRule="auto"/>
        <w:ind w:firstLine="420" w:firstLineChars="200"/>
        <w:textAlignment w:val="auto"/>
        <w:rPr>
          <w:rFonts w:hAnsi="宋体"/>
          <w:color w:val="auto"/>
          <w:highlight w:val="none"/>
        </w:rPr>
      </w:pPr>
      <w:r>
        <w:rPr>
          <w:rFonts w:hint="eastAsia" w:hAnsi="宋体"/>
          <w:color w:val="auto"/>
          <w:highlight w:val="none"/>
        </w:rPr>
        <w:t>1</w:t>
      </w:r>
      <w:r>
        <w:rPr>
          <w:rFonts w:hint="eastAsia" w:hAnsi="宋体"/>
          <w:color w:val="auto"/>
          <w:highlight w:val="none"/>
          <w:lang w:val="en-US" w:eastAsia="zh-CN"/>
        </w:rPr>
        <w:t>5</w:t>
      </w:r>
      <w:r>
        <w:rPr>
          <w:rFonts w:hint="eastAsia" w:hAnsi="宋体"/>
          <w:color w:val="auto"/>
          <w:highlight w:val="none"/>
        </w:rPr>
        <w:t>.4在成交通知书发出后5个工作日内退还未成交供应商的保证金；在采购合同签定后5个工作日内退还成交供应商的保证金，但因供应商自身原因导致无法及时退还的除外。</w:t>
      </w:r>
    </w:p>
    <w:p w14:paraId="6FE36A59">
      <w:pPr>
        <w:pStyle w:val="13"/>
        <w:keepNext w:val="0"/>
        <w:keepLines w:val="0"/>
        <w:pageBreakBefore w:val="0"/>
        <w:kinsoku/>
        <w:wordWrap/>
        <w:overflowPunct/>
        <w:topLinePunct w:val="0"/>
        <w:autoSpaceDE/>
        <w:bidi w:val="0"/>
        <w:adjustRightInd w:val="0"/>
        <w:snapToGrid w:val="0"/>
        <w:spacing w:line="240" w:lineRule="auto"/>
        <w:ind w:firstLine="420" w:firstLineChars="200"/>
        <w:textAlignment w:val="auto"/>
        <w:rPr>
          <w:color w:val="auto"/>
          <w:kern w:val="0"/>
          <w:highlight w:val="none"/>
        </w:rPr>
      </w:pPr>
      <w:r>
        <w:rPr>
          <w:rFonts w:hint="eastAsia"/>
          <w:color w:val="auto"/>
          <w:highlight w:val="none"/>
        </w:rPr>
        <w:t>1</w:t>
      </w:r>
      <w:r>
        <w:rPr>
          <w:rFonts w:hint="eastAsia"/>
          <w:color w:val="auto"/>
          <w:highlight w:val="none"/>
          <w:lang w:val="en-US" w:eastAsia="zh-CN"/>
        </w:rPr>
        <w:t>5</w:t>
      </w:r>
      <w:r>
        <w:rPr>
          <w:rFonts w:hint="eastAsia"/>
          <w:color w:val="auto"/>
          <w:highlight w:val="none"/>
        </w:rPr>
        <w:t xml:space="preserve">.5 </w:t>
      </w:r>
      <w:r>
        <w:rPr>
          <w:rFonts w:hint="eastAsia"/>
          <w:color w:val="auto"/>
          <w:kern w:val="0"/>
          <w:highlight w:val="none"/>
        </w:rPr>
        <w:t>有下列情形之一的，保证金不予退还：</w:t>
      </w:r>
    </w:p>
    <w:p w14:paraId="3C117703">
      <w:pPr>
        <w:keepNext w:val="0"/>
        <w:keepLines w:val="0"/>
        <w:pageBreakBefore w:val="0"/>
        <w:widowControl/>
        <w:kinsoku/>
        <w:wordWrap/>
        <w:overflowPunct/>
        <w:topLinePunct w:val="0"/>
        <w:autoSpaceDE/>
        <w:bidi w:val="0"/>
        <w:adjustRightInd w:val="0"/>
        <w:snapToGrid w:val="0"/>
        <w:spacing w:line="240" w:lineRule="auto"/>
        <w:ind w:firstLine="420" w:firstLineChars="20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（1）供应商在</w:t>
      </w:r>
      <w:r>
        <w:rPr>
          <w:rFonts w:hint="eastAsia" w:ascii="宋体" w:hAnsi="宋体"/>
          <w:bCs/>
          <w:color w:val="auto"/>
          <w:szCs w:val="21"/>
          <w:highlight w:val="none"/>
        </w:rPr>
        <w:t>本章第9.1</w:t>
      </w:r>
      <w:r>
        <w:rPr>
          <w:rFonts w:hint="eastAsia" w:ascii="宋体" w:hAnsi="宋体" w:cs="宋体"/>
          <w:color w:val="auto"/>
          <w:kern w:val="0"/>
          <w:szCs w:val="21"/>
          <w:highlight w:val="none"/>
          <w:lang w:val="zh-CN"/>
        </w:rPr>
        <w:t>款</w:t>
      </w:r>
      <w:r>
        <w:rPr>
          <w:rFonts w:hint="eastAsia" w:ascii="宋体" w:hAnsi="宋体"/>
          <w:bCs/>
          <w:color w:val="auto"/>
          <w:szCs w:val="21"/>
          <w:highlight w:val="none"/>
        </w:rPr>
        <w:t>规定的</w:t>
      </w:r>
      <w:r>
        <w:rPr>
          <w:rFonts w:hint="eastAsia" w:ascii="宋体" w:hAnsi="宋体" w:cs="宋体"/>
          <w:color w:val="auto"/>
          <w:kern w:val="0"/>
          <w:szCs w:val="21"/>
          <w:highlight w:val="none"/>
        </w:rPr>
        <w:t>提交首次响应文件截止时间后撤回响应文件的；</w:t>
      </w:r>
    </w:p>
    <w:p w14:paraId="73E533DA">
      <w:pPr>
        <w:keepNext w:val="0"/>
        <w:keepLines w:val="0"/>
        <w:pageBreakBefore w:val="0"/>
        <w:widowControl/>
        <w:kinsoku/>
        <w:wordWrap/>
        <w:overflowPunct/>
        <w:topLinePunct w:val="0"/>
        <w:autoSpaceDE/>
        <w:bidi w:val="0"/>
        <w:adjustRightInd w:val="0"/>
        <w:snapToGrid w:val="0"/>
        <w:spacing w:line="240" w:lineRule="auto"/>
        <w:ind w:firstLine="420" w:firstLineChars="20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（2）供应商在响应文件中提供虚假材料的；</w:t>
      </w:r>
    </w:p>
    <w:p w14:paraId="4B44A08B">
      <w:pPr>
        <w:keepNext w:val="0"/>
        <w:keepLines w:val="0"/>
        <w:pageBreakBefore w:val="0"/>
        <w:widowControl/>
        <w:kinsoku/>
        <w:wordWrap/>
        <w:overflowPunct/>
        <w:topLinePunct w:val="0"/>
        <w:autoSpaceDE/>
        <w:bidi w:val="0"/>
        <w:adjustRightInd w:val="0"/>
        <w:snapToGrid w:val="0"/>
        <w:spacing w:line="240" w:lineRule="auto"/>
        <w:ind w:firstLine="420" w:firstLineChars="20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（3）除因不可抗力或采购文件认可的情形以外，成交供应商不与采购人签订合同的；</w:t>
      </w:r>
    </w:p>
    <w:p w14:paraId="7FD32C0A">
      <w:pPr>
        <w:keepNext w:val="0"/>
        <w:keepLines w:val="0"/>
        <w:pageBreakBefore w:val="0"/>
        <w:widowControl/>
        <w:kinsoku/>
        <w:wordWrap/>
        <w:overflowPunct/>
        <w:topLinePunct w:val="0"/>
        <w:autoSpaceDE/>
        <w:bidi w:val="0"/>
        <w:adjustRightInd w:val="0"/>
        <w:snapToGrid w:val="0"/>
        <w:spacing w:line="240" w:lineRule="auto"/>
        <w:ind w:firstLine="420" w:firstLineChars="20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（4）供应商与采购人、其他供应商或者恶意串通的；</w:t>
      </w:r>
    </w:p>
    <w:p w14:paraId="5D49C4B8">
      <w:pPr>
        <w:keepNext w:val="0"/>
        <w:keepLines w:val="0"/>
        <w:pageBreakBefore w:val="0"/>
        <w:widowControl/>
        <w:kinsoku/>
        <w:wordWrap/>
        <w:overflowPunct/>
        <w:topLinePunct w:val="0"/>
        <w:autoSpaceDE/>
        <w:bidi w:val="0"/>
        <w:adjustRightInd w:val="0"/>
        <w:snapToGrid w:val="0"/>
        <w:spacing w:line="240" w:lineRule="auto"/>
        <w:ind w:firstLine="420" w:firstLineChars="20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（5）采购文件规定的其他情形。</w:t>
      </w:r>
    </w:p>
    <w:p w14:paraId="2BFFD34E">
      <w:pPr>
        <w:keepNext w:val="0"/>
        <w:keepLines w:val="0"/>
        <w:pageBreakBefore w:val="0"/>
        <w:kinsoku/>
        <w:wordWrap/>
        <w:overflowPunct/>
        <w:topLinePunct w:val="0"/>
        <w:autoSpaceDE/>
        <w:bidi w:val="0"/>
        <w:adjustRightInd w:val="0"/>
        <w:snapToGrid w:val="0"/>
        <w:spacing w:line="240" w:lineRule="auto"/>
        <w:textAlignment w:val="auto"/>
        <w:rPr>
          <w:rFonts w:ascii="宋体" w:hAnsi="宋体"/>
          <w:b/>
          <w:bCs/>
          <w:color w:val="auto"/>
          <w:szCs w:val="21"/>
          <w:highlight w:val="none"/>
        </w:rPr>
      </w:pPr>
      <w:r>
        <w:rPr>
          <w:rFonts w:hint="eastAsia" w:ascii="宋体" w:hAnsi="宋体"/>
          <w:b/>
          <w:bCs/>
          <w:color w:val="auto"/>
          <w:szCs w:val="21"/>
          <w:highlight w:val="none"/>
        </w:rPr>
        <w:t>1</w:t>
      </w:r>
      <w:r>
        <w:rPr>
          <w:rFonts w:hint="eastAsia" w:ascii="宋体" w:hAnsi="宋体"/>
          <w:b/>
          <w:bCs/>
          <w:color w:val="auto"/>
          <w:szCs w:val="21"/>
          <w:highlight w:val="none"/>
          <w:lang w:val="en-US" w:eastAsia="zh-CN"/>
        </w:rPr>
        <w:t>6</w:t>
      </w:r>
      <w:r>
        <w:rPr>
          <w:rFonts w:hint="eastAsia" w:ascii="宋体" w:hAnsi="宋体"/>
          <w:b/>
          <w:bCs/>
          <w:color w:val="auto"/>
          <w:szCs w:val="21"/>
          <w:highlight w:val="none"/>
        </w:rPr>
        <w:t>.</w:t>
      </w:r>
      <w:r>
        <w:rPr>
          <w:rFonts w:hint="eastAsia" w:ascii="宋体" w:hAnsi="宋体"/>
          <w:color w:val="auto"/>
          <w:szCs w:val="21"/>
          <w:highlight w:val="none"/>
        </w:rPr>
        <w:t xml:space="preserve"> </w:t>
      </w:r>
      <w:r>
        <w:rPr>
          <w:rFonts w:hint="eastAsia" w:hAnsi="宋体"/>
          <w:b/>
          <w:color w:val="auto"/>
          <w:highlight w:val="none"/>
        </w:rPr>
        <w:t>响应文件</w:t>
      </w:r>
      <w:r>
        <w:rPr>
          <w:rFonts w:hint="eastAsia" w:ascii="宋体" w:hAnsi="宋体"/>
          <w:b/>
          <w:color w:val="auto"/>
          <w:szCs w:val="21"/>
          <w:highlight w:val="none"/>
        </w:rPr>
        <w:t>有效期</w:t>
      </w:r>
    </w:p>
    <w:p w14:paraId="2EF6B30A">
      <w:pPr>
        <w:keepNext w:val="0"/>
        <w:keepLines w:val="0"/>
        <w:pageBreakBefore w:val="0"/>
        <w:kinsoku/>
        <w:wordWrap/>
        <w:overflowPunct/>
        <w:topLinePunct w:val="0"/>
        <w:autoSpaceDE/>
        <w:bidi w:val="0"/>
        <w:adjustRightInd w:val="0"/>
        <w:snapToGrid w:val="0"/>
        <w:spacing w:line="240" w:lineRule="auto"/>
        <w:ind w:firstLine="420" w:firstLineChars="200"/>
        <w:jc w:val="left"/>
        <w:textAlignment w:val="auto"/>
        <w:rPr>
          <w:rFonts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6</w:t>
      </w:r>
      <w:r>
        <w:rPr>
          <w:rFonts w:hint="eastAsia" w:ascii="宋体" w:hAnsi="宋体"/>
          <w:color w:val="auto"/>
          <w:highlight w:val="none"/>
        </w:rPr>
        <w:t>.1响应文件</w:t>
      </w:r>
      <w:r>
        <w:rPr>
          <w:rFonts w:hint="eastAsia" w:ascii="宋体" w:hAnsi="宋体"/>
          <w:color w:val="auto"/>
          <w:szCs w:val="21"/>
          <w:highlight w:val="none"/>
        </w:rPr>
        <w:t>有效期见</w:t>
      </w:r>
      <w:r>
        <w:rPr>
          <w:rFonts w:hint="eastAsia" w:ascii="宋体" w:hAnsi="宋体"/>
          <w:b/>
          <w:color w:val="auto"/>
          <w:highlight w:val="none"/>
        </w:rPr>
        <w:t>供应商须知前附表</w:t>
      </w:r>
      <w:r>
        <w:rPr>
          <w:rFonts w:hint="eastAsia" w:ascii="宋体" w:hAnsi="宋体"/>
          <w:color w:val="auto"/>
          <w:szCs w:val="21"/>
          <w:highlight w:val="none"/>
        </w:rPr>
        <w:t>，在此期间</w:t>
      </w:r>
      <w:r>
        <w:rPr>
          <w:rFonts w:hint="eastAsia" w:ascii="宋体" w:hAnsi="宋体"/>
          <w:color w:val="auto"/>
          <w:highlight w:val="none"/>
        </w:rPr>
        <w:t>响应</w:t>
      </w:r>
      <w:r>
        <w:rPr>
          <w:rFonts w:hint="eastAsia" w:ascii="宋体" w:hAnsi="宋体"/>
          <w:color w:val="auto"/>
          <w:szCs w:val="21"/>
          <w:highlight w:val="none"/>
        </w:rPr>
        <w:t>文件对供应商具有法律约束力，</w:t>
      </w:r>
      <w:r>
        <w:rPr>
          <w:rFonts w:hint="eastAsia" w:ascii="宋体" w:hAnsi="宋体" w:cs="Arial"/>
          <w:color w:val="auto"/>
          <w:highlight w:val="none"/>
        </w:rPr>
        <w:t>从</w:t>
      </w:r>
      <w:r>
        <w:rPr>
          <w:rFonts w:hint="eastAsia" w:ascii="宋体" w:hAnsi="宋体"/>
          <w:color w:val="auto"/>
          <w:highlight w:val="none"/>
        </w:rPr>
        <w:t>本章第9.1</w:t>
      </w:r>
      <w:r>
        <w:rPr>
          <w:rFonts w:hint="eastAsia" w:ascii="宋体" w:hAnsi="宋体" w:cs="宋体"/>
          <w:color w:val="auto"/>
          <w:kern w:val="0"/>
          <w:szCs w:val="21"/>
          <w:highlight w:val="none"/>
          <w:lang w:val="zh-CN"/>
        </w:rPr>
        <w:t>款</w:t>
      </w:r>
      <w:r>
        <w:rPr>
          <w:rFonts w:hint="eastAsia" w:hAnsi="宋体"/>
          <w:color w:val="auto"/>
          <w:highlight w:val="none"/>
        </w:rPr>
        <w:t>规定的</w:t>
      </w:r>
      <w:r>
        <w:rPr>
          <w:rFonts w:hint="eastAsia" w:ascii="宋体" w:hAnsi="宋体" w:cs="宋体"/>
          <w:color w:val="auto"/>
          <w:kern w:val="0"/>
          <w:szCs w:val="21"/>
          <w:highlight w:val="none"/>
        </w:rPr>
        <w:t>提交首次响应文件截止时间</w:t>
      </w:r>
      <w:r>
        <w:rPr>
          <w:rFonts w:hint="eastAsia" w:hAnsi="宋体"/>
          <w:color w:val="auto"/>
          <w:highlight w:val="none"/>
        </w:rPr>
        <w:t>之日</w:t>
      </w:r>
      <w:r>
        <w:rPr>
          <w:rFonts w:hint="eastAsia" w:hAnsi="宋体" w:cs="Arial"/>
          <w:color w:val="auto"/>
          <w:highlight w:val="none"/>
        </w:rPr>
        <w:t>起计算。</w:t>
      </w:r>
      <w:r>
        <w:rPr>
          <w:rFonts w:hint="eastAsia" w:hAnsi="宋体"/>
          <w:color w:val="auto"/>
          <w:highlight w:val="none"/>
        </w:rPr>
        <w:t>响应文件有效期不足的将被视为无效响应。</w:t>
      </w:r>
    </w:p>
    <w:p w14:paraId="30EA93C7">
      <w:pPr>
        <w:keepNext w:val="0"/>
        <w:keepLines w:val="0"/>
        <w:pageBreakBefore w:val="0"/>
        <w:kinsoku/>
        <w:wordWrap/>
        <w:overflowPunct/>
        <w:topLinePunct w:val="0"/>
        <w:autoSpaceDE/>
        <w:bidi w:val="0"/>
        <w:adjustRightInd w:val="0"/>
        <w:snapToGrid w:val="0"/>
        <w:spacing w:line="240" w:lineRule="auto"/>
        <w:textAlignment w:val="auto"/>
        <w:rPr>
          <w:rFonts w:ascii="宋体" w:hAnsi="宋体"/>
          <w:b/>
          <w:bCs/>
          <w:color w:val="auto"/>
          <w:szCs w:val="21"/>
          <w:highlight w:val="none"/>
        </w:rPr>
      </w:pPr>
      <w:r>
        <w:rPr>
          <w:rFonts w:hint="eastAsia" w:ascii="宋体" w:hAnsi="宋体"/>
          <w:b/>
          <w:bCs/>
          <w:color w:val="auto"/>
          <w:szCs w:val="21"/>
          <w:highlight w:val="none"/>
        </w:rPr>
        <w:t>1</w:t>
      </w:r>
      <w:r>
        <w:rPr>
          <w:rFonts w:hint="eastAsia" w:ascii="宋体" w:hAnsi="宋体"/>
          <w:b/>
          <w:bCs/>
          <w:color w:val="auto"/>
          <w:szCs w:val="21"/>
          <w:highlight w:val="none"/>
          <w:lang w:val="en-US" w:eastAsia="zh-CN"/>
        </w:rPr>
        <w:t>7</w:t>
      </w:r>
      <w:r>
        <w:rPr>
          <w:rFonts w:hint="eastAsia" w:ascii="宋体" w:hAnsi="宋体"/>
          <w:b/>
          <w:bCs/>
          <w:color w:val="auto"/>
          <w:szCs w:val="21"/>
          <w:highlight w:val="none"/>
        </w:rPr>
        <w:t>.响应文件的签署及规定</w:t>
      </w:r>
    </w:p>
    <w:p w14:paraId="7DDA4317">
      <w:pPr>
        <w:pStyle w:val="13"/>
        <w:keepNext w:val="0"/>
        <w:keepLines w:val="0"/>
        <w:pageBreakBefore w:val="0"/>
        <w:kinsoku/>
        <w:wordWrap/>
        <w:overflowPunct/>
        <w:topLinePunct w:val="0"/>
        <w:autoSpaceDE/>
        <w:bidi w:val="0"/>
        <w:adjustRightInd w:val="0"/>
        <w:snapToGrid w:val="0"/>
        <w:spacing w:line="240" w:lineRule="auto"/>
        <w:ind w:firstLine="420" w:firstLineChars="200"/>
        <w:textAlignment w:val="auto"/>
        <w:rPr>
          <w:rFonts w:hAnsi="宋体"/>
          <w:color w:val="auto"/>
          <w:highlight w:val="none"/>
        </w:rPr>
      </w:pPr>
      <w:r>
        <w:rPr>
          <w:rFonts w:hint="eastAsia" w:hAnsi="宋体"/>
          <w:color w:val="auto"/>
          <w:highlight w:val="none"/>
        </w:rPr>
        <w:t>1</w:t>
      </w:r>
      <w:r>
        <w:rPr>
          <w:rFonts w:hint="eastAsia" w:hAnsi="宋体"/>
          <w:color w:val="auto"/>
          <w:highlight w:val="none"/>
          <w:lang w:val="en-US" w:eastAsia="zh-CN"/>
        </w:rPr>
        <w:t>7</w:t>
      </w:r>
      <w:r>
        <w:rPr>
          <w:rFonts w:hint="eastAsia" w:hAnsi="宋体"/>
          <w:color w:val="auto"/>
          <w:highlight w:val="none"/>
        </w:rPr>
        <w:t>.1响应文件的正本应装订成册，正本一份</w:t>
      </w:r>
      <w:r>
        <w:rPr>
          <w:rFonts w:hint="eastAsia" w:hAnsi="宋体"/>
          <w:b/>
          <w:color w:val="auto"/>
          <w:highlight w:val="none"/>
        </w:rPr>
        <w:t>供应商须知前附表</w:t>
      </w:r>
      <w:r>
        <w:rPr>
          <w:rFonts w:hint="eastAsia" w:hAnsi="宋体"/>
          <w:color w:val="auto"/>
          <w:highlight w:val="none"/>
        </w:rPr>
        <w:t>。正本的封面上应标记“正本”字样。</w:t>
      </w:r>
    </w:p>
    <w:p w14:paraId="6C1A1DF1">
      <w:pPr>
        <w:pStyle w:val="13"/>
        <w:keepNext w:val="0"/>
        <w:keepLines w:val="0"/>
        <w:pageBreakBefore w:val="0"/>
        <w:kinsoku/>
        <w:wordWrap/>
        <w:overflowPunct/>
        <w:topLinePunct w:val="0"/>
        <w:autoSpaceDE/>
        <w:bidi w:val="0"/>
        <w:adjustRightInd w:val="0"/>
        <w:snapToGrid w:val="0"/>
        <w:spacing w:line="240" w:lineRule="auto"/>
        <w:ind w:firstLine="420" w:firstLineChars="200"/>
        <w:textAlignment w:val="auto"/>
        <w:rPr>
          <w:rFonts w:hAnsi="宋体"/>
          <w:color w:val="auto"/>
          <w:highlight w:val="none"/>
        </w:rPr>
      </w:pPr>
      <w:r>
        <w:rPr>
          <w:rFonts w:hint="eastAsia" w:hAnsi="宋体"/>
          <w:color w:val="auto"/>
          <w:highlight w:val="none"/>
        </w:rPr>
        <w:t>1</w:t>
      </w:r>
      <w:r>
        <w:rPr>
          <w:rFonts w:hint="eastAsia" w:hAnsi="宋体"/>
          <w:color w:val="auto"/>
          <w:highlight w:val="none"/>
          <w:lang w:val="en-US" w:eastAsia="zh-CN"/>
        </w:rPr>
        <w:t>7</w:t>
      </w:r>
      <w:r>
        <w:rPr>
          <w:rFonts w:hint="eastAsia" w:hAnsi="宋体"/>
          <w:color w:val="auto"/>
          <w:highlight w:val="none"/>
        </w:rPr>
        <w:t>.2 响应文件正本应按采购文件要求签章处盖单位章和由法定代表人或其代理人签字；任何加行、涂改、增删，应有法定代表人或其代理人在旁边签字。否则，将导致响应文件无效。</w:t>
      </w:r>
    </w:p>
    <w:p w14:paraId="66596798">
      <w:pPr>
        <w:keepNext w:val="0"/>
        <w:keepLines w:val="0"/>
        <w:pageBreakBefore w:val="0"/>
        <w:kinsoku/>
        <w:wordWrap/>
        <w:overflowPunct/>
        <w:topLinePunct w:val="0"/>
        <w:autoSpaceDE/>
        <w:bidi w:val="0"/>
        <w:adjustRightInd w:val="0"/>
        <w:snapToGrid w:val="0"/>
        <w:spacing w:line="240" w:lineRule="auto"/>
        <w:textAlignment w:val="auto"/>
        <w:rPr>
          <w:rFonts w:ascii="黑体" w:hAnsi="宋体" w:eastAsia="黑体"/>
          <w:color w:val="auto"/>
          <w:sz w:val="24"/>
          <w:highlight w:val="none"/>
        </w:rPr>
      </w:pPr>
      <w:r>
        <w:rPr>
          <w:rFonts w:hint="eastAsia" w:ascii="黑体" w:hAnsi="宋体" w:eastAsia="黑体"/>
          <w:color w:val="auto"/>
          <w:sz w:val="24"/>
          <w:highlight w:val="none"/>
        </w:rPr>
        <w:t>四、响应文件的递交</w:t>
      </w:r>
    </w:p>
    <w:p w14:paraId="27C104A9">
      <w:pPr>
        <w:keepNext w:val="0"/>
        <w:keepLines w:val="0"/>
        <w:pageBreakBefore w:val="0"/>
        <w:kinsoku/>
        <w:wordWrap/>
        <w:overflowPunct/>
        <w:topLinePunct w:val="0"/>
        <w:autoSpaceDE/>
        <w:bidi w:val="0"/>
        <w:adjustRightInd w:val="0"/>
        <w:snapToGrid w:val="0"/>
        <w:spacing w:line="240" w:lineRule="auto"/>
        <w:textAlignment w:val="auto"/>
        <w:rPr>
          <w:rFonts w:ascii="宋体" w:hAnsi="宋体"/>
          <w:b/>
          <w:bCs/>
          <w:color w:val="auto"/>
          <w:szCs w:val="21"/>
          <w:highlight w:val="none"/>
        </w:rPr>
      </w:pPr>
      <w:r>
        <w:rPr>
          <w:rFonts w:hint="eastAsia" w:ascii="宋体" w:hAnsi="宋体"/>
          <w:b/>
          <w:bCs/>
          <w:color w:val="auto"/>
          <w:szCs w:val="21"/>
          <w:highlight w:val="none"/>
        </w:rPr>
        <w:t>1</w:t>
      </w:r>
      <w:r>
        <w:rPr>
          <w:rFonts w:hint="eastAsia" w:ascii="宋体" w:hAnsi="宋体"/>
          <w:b/>
          <w:bCs/>
          <w:color w:val="auto"/>
          <w:szCs w:val="21"/>
          <w:highlight w:val="none"/>
          <w:lang w:val="en-US" w:eastAsia="zh-CN"/>
        </w:rPr>
        <w:t>8</w:t>
      </w:r>
      <w:r>
        <w:rPr>
          <w:rFonts w:hint="eastAsia" w:ascii="宋体" w:hAnsi="宋体"/>
          <w:b/>
          <w:bCs/>
          <w:color w:val="auto"/>
          <w:szCs w:val="21"/>
          <w:highlight w:val="none"/>
        </w:rPr>
        <w:t>.</w:t>
      </w:r>
      <w:r>
        <w:rPr>
          <w:rFonts w:hint="eastAsia" w:ascii="宋体" w:hAnsi="宋体"/>
          <w:b/>
          <w:color w:val="auto"/>
          <w:szCs w:val="21"/>
          <w:highlight w:val="none"/>
        </w:rPr>
        <w:t>响应文件</w:t>
      </w:r>
      <w:r>
        <w:rPr>
          <w:rFonts w:hint="eastAsia" w:ascii="宋体" w:hAnsi="宋体"/>
          <w:b/>
          <w:bCs/>
          <w:color w:val="auto"/>
          <w:szCs w:val="21"/>
          <w:highlight w:val="none"/>
        </w:rPr>
        <w:t>的密封和标记</w:t>
      </w:r>
    </w:p>
    <w:p w14:paraId="3B6498A3">
      <w:pPr>
        <w:pStyle w:val="13"/>
        <w:keepNext w:val="0"/>
        <w:keepLines w:val="0"/>
        <w:pageBreakBefore w:val="0"/>
        <w:kinsoku/>
        <w:wordWrap/>
        <w:overflowPunct/>
        <w:topLinePunct w:val="0"/>
        <w:autoSpaceDE/>
        <w:bidi w:val="0"/>
        <w:adjustRightInd w:val="0"/>
        <w:snapToGrid w:val="0"/>
        <w:spacing w:line="240" w:lineRule="auto"/>
        <w:ind w:firstLine="420" w:firstLineChars="200"/>
        <w:textAlignment w:val="auto"/>
        <w:rPr>
          <w:rFonts w:hint="eastAsia" w:hAnsi="宋体" w:eastAsia="宋体"/>
          <w:color w:val="auto"/>
          <w:highlight w:val="none"/>
          <w:lang w:eastAsia="zh-CN"/>
        </w:rPr>
      </w:pPr>
      <w:r>
        <w:rPr>
          <w:rFonts w:hint="eastAsia" w:hAnsi="宋体"/>
          <w:color w:val="auto"/>
          <w:highlight w:val="none"/>
        </w:rPr>
        <w:t>1</w:t>
      </w:r>
      <w:r>
        <w:rPr>
          <w:rFonts w:hint="eastAsia" w:hAnsi="宋体"/>
          <w:color w:val="auto"/>
          <w:highlight w:val="none"/>
          <w:lang w:val="en-US" w:eastAsia="zh-CN"/>
        </w:rPr>
        <w:t>8</w:t>
      </w:r>
      <w:r>
        <w:rPr>
          <w:rFonts w:hint="eastAsia" w:hAnsi="宋体"/>
          <w:color w:val="auto"/>
          <w:highlight w:val="none"/>
        </w:rPr>
        <w:t>.1响应文件</w:t>
      </w:r>
      <w:r>
        <w:rPr>
          <w:rFonts w:hint="eastAsia" w:hAnsi="宋体"/>
          <w:color w:val="auto"/>
          <w:highlight w:val="none"/>
          <w:lang w:eastAsia="zh-CN"/>
        </w:rPr>
        <w:t>每一页都需要</w:t>
      </w:r>
      <w:r>
        <w:rPr>
          <w:rFonts w:hint="eastAsia" w:hAnsi="宋体"/>
          <w:color w:val="auto"/>
          <w:highlight w:val="none"/>
        </w:rPr>
        <w:t>盖供应商单位章</w:t>
      </w:r>
      <w:r>
        <w:rPr>
          <w:rFonts w:hint="eastAsia" w:hAnsi="宋体"/>
          <w:color w:val="auto"/>
          <w:highlight w:val="none"/>
          <w:lang w:eastAsia="zh-CN"/>
        </w:rPr>
        <w:t>，需要</w:t>
      </w:r>
      <w:r>
        <w:rPr>
          <w:rFonts w:hint="eastAsia" w:hAnsi="宋体"/>
          <w:color w:val="auto"/>
          <w:highlight w:val="none"/>
        </w:rPr>
        <w:t>由法定代表人或其委托代理人签字</w:t>
      </w:r>
      <w:r>
        <w:rPr>
          <w:rFonts w:hint="eastAsia" w:hAnsi="宋体"/>
          <w:color w:val="auto"/>
          <w:highlight w:val="none"/>
          <w:lang w:eastAsia="zh-CN"/>
        </w:rPr>
        <w:t>的位置必须签字盖章</w:t>
      </w:r>
      <w:r>
        <w:rPr>
          <w:rFonts w:hint="eastAsia" w:hAnsi="宋体"/>
          <w:color w:val="auto"/>
          <w:highlight w:val="none"/>
        </w:rPr>
        <w:t>。</w:t>
      </w:r>
      <w:r>
        <w:rPr>
          <w:rFonts w:hint="eastAsia" w:ascii="宋体" w:hAnsi="宋体" w:cs="宋体"/>
          <w:color w:val="auto"/>
          <w:szCs w:val="21"/>
          <w:highlight w:val="none"/>
        </w:rPr>
        <w:t>如果未按规定</w:t>
      </w:r>
      <w:r>
        <w:rPr>
          <w:rFonts w:hint="eastAsia" w:ascii="宋体" w:hAnsi="宋体" w:cs="宋体"/>
          <w:color w:val="auto"/>
          <w:szCs w:val="21"/>
          <w:highlight w:val="none"/>
          <w:lang w:eastAsia="zh-CN"/>
        </w:rPr>
        <w:t>要求进行密封和标记</w:t>
      </w:r>
      <w:r>
        <w:rPr>
          <w:rFonts w:hint="eastAsia" w:ascii="宋体" w:hAnsi="宋体" w:cs="宋体"/>
          <w:color w:val="auto"/>
          <w:szCs w:val="21"/>
          <w:highlight w:val="none"/>
        </w:rPr>
        <w:t>，</w:t>
      </w:r>
      <w:r>
        <w:rPr>
          <w:rFonts w:hint="eastAsia" w:hAnsi="宋体" w:cs="宋体"/>
          <w:color w:val="auto"/>
          <w:szCs w:val="21"/>
          <w:highlight w:val="none"/>
          <w:lang w:eastAsia="zh-CN"/>
        </w:rPr>
        <w:t>按废标处理</w:t>
      </w:r>
      <w:r>
        <w:rPr>
          <w:rFonts w:hint="eastAsia" w:ascii="宋体" w:hAnsi="宋体"/>
          <w:color w:val="auto"/>
          <w:szCs w:val="21"/>
          <w:highlight w:val="none"/>
        </w:rPr>
        <w:t>。</w:t>
      </w:r>
    </w:p>
    <w:p w14:paraId="54286F38">
      <w:pPr>
        <w:keepNext w:val="0"/>
        <w:keepLines w:val="0"/>
        <w:pageBreakBefore w:val="0"/>
        <w:kinsoku/>
        <w:wordWrap/>
        <w:overflowPunct/>
        <w:topLinePunct w:val="0"/>
        <w:autoSpaceDE/>
        <w:bidi w:val="0"/>
        <w:adjustRightInd w:val="0"/>
        <w:snapToGrid w:val="0"/>
        <w:spacing w:line="240" w:lineRule="auto"/>
        <w:ind w:firstLine="420" w:firstLineChars="200"/>
        <w:jc w:val="left"/>
        <w:textAlignment w:val="auto"/>
        <w:rPr>
          <w:rFonts w:ascii="宋体" w:hAnsi="宋体"/>
          <w:b/>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8</w:t>
      </w:r>
      <w:r>
        <w:rPr>
          <w:rFonts w:hint="eastAsia" w:ascii="宋体" w:hAnsi="宋体"/>
          <w:color w:val="auto"/>
          <w:szCs w:val="21"/>
          <w:highlight w:val="none"/>
        </w:rPr>
        <w:t>.2响应文件</w:t>
      </w:r>
      <w:r>
        <w:rPr>
          <w:rFonts w:hint="eastAsia" w:ascii="宋体" w:hAnsi="宋体"/>
          <w:color w:val="auto"/>
          <w:szCs w:val="21"/>
          <w:highlight w:val="none"/>
          <w:lang w:eastAsia="zh-CN"/>
        </w:rPr>
        <w:t>的</w:t>
      </w:r>
      <w:r>
        <w:rPr>
          <w:rFonts w:hint="eastAsia" w:ascii="宋体" w:hAnsi="宋体"/>
          <w:color w:val="auto"/>
          <w:szCs w:val="21"/>
          <w:highlight w:val="none"/>
          <w:lang w:val="en-US" w:eastAsia="zh-CN"/>
        </w:rPr>
        <w:t>文件需有公司名称及相关投标项目的名称</w:t>
      </w:r>
      <w:r>
        <w:rPr>
          <w:rFonts w:hint="eastAsia" w:ascii="宋体" w:hAnsi="宋体"/>
          <w:b/>
          <w:color w:val="auto"/>
          <w:szCs w:val="21"/>
          <w:highlight w:val="none"/>
        </w:rPr>
        <w:t>。</w:t>
      </w:r>
    </w:p>
    <w:p w14:paraId="58A18AD8">
      <w:pPr>
        <w:keepNext w:val="0"/>
        <w:keepLines w:val="0"/>
        <w:pageBreakBefore w:val="0"/>
        <w:kinsoku/>
        <w:wordWrap/>
        <w:overflowPunct/>
        <w:topLinePunct w:val="0"/>
        <w:autoSpaceDE/>
        <w:bidi w:val="0"/>
        <w:adjustRightInd w:val="0"/>
        <w:snapToGrid w:val="0"/>
        <w:spacing w:line="240" w:lineRule="auto"/>
        <w:textAlignment w:val="auto"/>
        <w:rPr>
          <w:rFonts w:ascii="宋体" w:hAnsi="宋体"/>
          <w:b/>
          <w:bCs/>
          <w:color w:val="auto"/>
          <w:szCs w:val="21"/>
          <w:highlight w:val="none"/>
        </w:rPr>
      </w:pPr>
      <w:r>
        <w:rPr>
          <w:rFonts w:hint="eastAsia" w:ascii="宋体" w:hAnsi="宋体"/>
          <w:b/>
          <w:bCs/>
          <w:color w:val="auto"/>
          <w:szCs w:val="21"/>
          <w:highlight w:val="none"/>
        </w:rPr>
        <w:t>1</w:t>
      </w:r>
      <w:r>
        <w:rPr>
          <w:rFonts w:hint="eastAsia" w:ascii="宋体" w:hAnsi="宋体"/>
          <w:b/>
          <w:bCs/>
          <w:color w:val="auto"/>
          <w:szCs w:val="21"/>
          <w:highlight w:val="none"/>
          <w:lang w:val="en-US" w:eastAsia="zh-CN"/>
        </w:rPr>
        <w:t>9</w:t>
      </w:r>
      <w:r>
        <w:rPr>
          <w:rFonts w:hint="eastAsia" w:ascii="宋体" w:hAnsi="宋体"/>
          <w:b/>
          <w:bCs/>
          <w:color w:val="auto"/>
          <w:szCs w:val="21"/>
          <w:highlight w:val="none"/>
        </w:rPr>
        <w:t>.响应文件的</w:t>
      </w:r>
      <w:r>
        <w:rPr>
          <w:rFonts w:hint="eastAsia" w:ascii="宋体" w:hAnsi="宋体" w:cs="宋体"/>
          <w:b/>
          <w:color w:val="auto"/>
          <w:kern w:val="0"/>
          <w:szCs w:val="21"/>
          <w:highlight w:val="none"/>
          <w:lang w:val="zh-CN"/>
        </w:rPr>
        <w:t>补充、修改或者撤回</w:t>
      </w:r>
    </w:p>
    <w:p w14:paraId="7E877D63">
      <w:pPr>
        <w:pStyle w:val="13"/>
        <w:keepNext w:val="0"/>
        <w:keepLines w:val="0"/>
        <w:pageBreakBefore w:val="0"/>
        <w:kinsoku/>
        <w:wordWrap/>
        <w:overflowPunct/>
        <w:topLinePunct w:val="0"/>
        <w:autoSpaceDE/>
        <w:bidi w:val="0"/>
        <w:adjustRightInd w:val="0"/>
        <w:snapToGrid w:val="0"/>
        <w:spacing w:line="240" w:lineRule="auto"/>
        <w:ind w:firstLine="420" w:firstLineChars="200"/>
        <w:textAlignment w:val="auto"/>
        <w:rPr>
          <w:rFonts w:hAnsi="宋体"/>
          <w:color w:val="auto"/>
          <w:highlight w:val="none"/>
        </w:rPr>
      </w:pPr>
      <w:r>
        <w:rPr>
          <w:rFonts w:hint="eastAsia" w:hAnsi="宋体"/>
          <w:color w:val="auto"/>
          <w:highlight w:val="none"/>
        </w:rPr>
        <w:t>1</w:t>
      </w:r>
      <w:r>
        <w:rPr>
          <w:rFonts w:hint="eastAsia" w:hAnsi="宋体"/>
          <w:color w:val="auto"/>
          <w:highlight w:val="none"/>
          <w:lang w:val="en-US" w:eastAsia="zh-CN"/>
        </w:rPr>
        <w:t>9</w:t>
      </w:r>
      <w:r>
        <w:rPr>
          <w:rFonts w:hint="eastAsia" w:hAnsi="宋体"/>
          <w:color w:val="auto"/>
          <w:highlight w:val="none"/>
        </w:rPr>
        <w:t>.1</w:t>
      </w:r>
      <w:r>
        <w:rPr>
          <w:rFonts w:hint="eastAsia" w:hAnsi="宋体" w:cs="宋体"/>
          <w:color w:val="auto"/>
          <w:kern w:val="0"/>
          <w:highlight w:val="none"/>
        </w:rPr>
        <w:t>供应商在</w:t>
      </w:r>
      <w:r>
        <w:rPr>
          <w:rFonts w:hint="eastAsia" w:hAnsi="宋体"/>
          <w:color w:val="auto"/>
          <w:highlight w:val="none"/>
        </w:rPr>
        <w:t>本章第9.1</w:t>
      </w:r>
      <w:r>
        <w:rPr>
          <w:rFonts w:hint="eastAsia" w:hAnsi="宋体" w:cs="宋体"/>
          <w:color w:val="auto"/>
          <w:kern w:val="0"/>
          <w:highlight w:val="none"/>
          <w:lang w:val="zh-CN"/>
        </w:rPr>
        <w:t>款</w:t>
      </w:r>
      <w:r>
        <w:rPr>
          <w:rFonts w:hint="eastAsia" w:hAnsi="宋体"/>
          <w:color w:val="auto"/>
          <w:highlight w:val="none"/>
        </w:rPr>
        <w:t>规定的</w:t>
      </w:r>
      <w:r>
        <w:rPr>
          <w:rFonts w:hint="eastAsia" w:hAnsi="宋体" w:cs="宋体"/>
          <w:color w:val="auto"/>
          <w:kern w:val="0"/>
          <w:highlight w:val="none"/>
        </w:rPr>
        <w:t>提交响应文件截止时间前，可以对所提交的响应文件进行补充、修改或者撤回，并书面通知采购人。</w:t>
      </w:r>
      <w:r>
        <w:rPr>
          <w:rFonts w:hint="eastAsia" w:hAnsi="宋体"/>
          <w:color w:val="auto"/>
          <w:highlight w:val="none"/>
        </w:rPr>
        <w:t>该通知应有供应商法定代表人或其代理人签字。</w:t>
      </w:r>
    </w:p>
    <w:p w14:paraId="08CB9490">
      <w:pPr>
        <w:pStyle w:val="13"/>
        <w:keepNext w:val="0"/>
        <w:keepLines w:val="0"/>
        <w:pageBreakBefore w:val="0"/>
        <w:kinsoku/>
        <w:wordWrap/>
        <w:overflowPunct/>
        <w:topLinePunct w:val="0"/>
        <w:autoSpaceDE/>
        <w:bidi w:val="0"/>
        <w:adjustRightInd w:val="0"/>
        <w:snapToGrid w:val="0"/>
        <w:spacing w:line="240" w:lineRule="auto"/>
        <w:ind w:firstLine="420" w:firstLineChars="200"/>
        <w:textAlignment w:val="auto"/>
        <w:rPr>
          <w:rFonts w:hAnsi="宋体"/>
          <w:color w:val="auto"/>
          <w:highlight w:val="none"/>
        </w:rPr>
      </w:pPr>
      <w:r>
        <w:rPr>
          <w:rFonts w:hint="eastAsia" w:hAnsi="宋体"/>
          <w:color w:val="auto"/>
          <w:highlight w:val="none"/>
        </w:rPr>
        <w:t>1</w:t>
      </w:r>
      <w:r>
        <w:rPr>
          <w:rFonts w:hint="eastAsia" w:hAnsi="宋体"/>
          <w:color w:val="auto"/>
          <w:highlight w:val="none"/>
          <w:lang w:val="en-US" w:eastAsia="zh-CN"/>
        </w:rPr>
        <w:t>9</w:t>
      </w:r>
      <w:r>
        <w:rPr>
          <w:rFonts w:hint="eastAsia" w:hAnsi="宋体"/>
          <w:color w:val="auto"/>
          <w:highlight w:val="none"/>
        </w:rPr>
        <w:t>.2</w:t>
      </w:r>
      <w:r>
        <w:rPr>
          <w:rFonts w:hint="eastAsia" w:hAnsi="宋体" w:cs="宋体"/>
          <w:color w:val="auto"/>
          <w:kern w:val="0"/>
          <w:highlight w:val="none"/>
          <w:lang w:val="zh-CN"/>
        </w:rPr>
        <w:t>补充、修改的内容与响应文件不一致时，以补充、修改的内容为准。</w:t>
      </w:r>
    </w:p>
    <w:p w14:paraId="59649E00">
      <w:pPr>
        <w:keepNext w:val="0"/>
        <w:keepLines w:val="0"/>
        <w:pageBreakBefore w:val="0"/>
        <w:kinsoku/>
        <w:wordWrap/>
        <w:overflowPunct/>
        <w:topLinePunct w:val="0"/>
        <w:autoSpaceDE/>
        <w:bidi w:val="0"/>
        <w:adjustRightInd w:val="0"/>
        <w:snapToGrid w:val="0"/>
        <w:spacing w:line="240" w:lineRule="auto"/>
        <w:textAlignment w:val="auto"/>
        <w:rPr>
          <w:rFonts w:ascii="宋体" w:hAnsi="宋体"/>
          <w:b/>
          <w:bCs/>
          <w:color w:val="auto"/>
          <w:szCs w:val="21"/>
          <w:highlight w:val="none"/>
        </w:rPr>
      </w:pPr>
      <w:r>
        <w:rPr>
          <w:rFonts w:hint="eastAsia" w:ascii="宋体" w:hAnsi="宋体"/>
          <w:b/>
          <w:bCs/>
          <w:color w:val="auto"/>
          <w:szCs w:val="21"/>
          <w:highlight w:val="none"/>
          <w:lang w:val="en-US" w:eastAsia="zh-CN"/>
        </w:rPr>
        <w:t>20</w:t>
      </w:r>
      <w:r>
        <w:rPr>
          <w:rFonts w:hint="eastAsia" w:ascii="宋体" w:hAnsi="宋体"/>
          <w:b/>
          <w:bCs/>
          <w:color w:val="auto"/>
          <w:szCs w:val="21"/>
          <w:highlight w:val="none"/>
        </w:rPr>
        <w:t>.响应文件的递交与接收</w:t>
      </w:r>
    </w:p>
    <w:p w14:paraId="6AB0B3C0">
      <w:pPr>
        <w:keepNext w:val="0"/>
        <w:keepLines w:val="0"/>
        <w:pageBreakBefore w:val="0"/>
        <w:kinsoku/>
        <w:wordWrap/>
        <w:overflowPunct/>
        <w:topLinePunct w:val="0"/>
        <w:autoSpaceDE/>
        <w:bidi w:val="0"/>
        <w:adjustRightInd w:val="0"/>
        <w:snapToGrid w:val="0"/>
        <w:spacing w:line="24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val="en-US" w:eastAsia="zh-CN"/>
        </w:rPr>
        <w:t>20</w:t>
      </w:r>
      <w:r>
        <w:rPr>
          <w:rFonts w:hint="eastAsia" w:ascii="宋体" w:hAnsi="宋体"/>
          <w:color w:val="auto"/>
          <w:szCs w:val="21"/>
          <w:highlight w:val="none"/>
        </w:rPr>
        <w:t>.1 供应商应在</w:t>
      </w:r>
      <w:r>
        <w:rPr>
          <w:rFonts w:hint="eastAsia" w:hAnsi="宋体"/>
          <w:color w:val="auto"/>
          <w:highlight w:val="none"/>
        </w:rPr>
        <w:t>本章第</w:t>
      </w:r>
      <w:r>
        <w:rPr>
          <w:rFonts w:hint="eastAsia" w:ascii="宋体" w:hAnsi="宋体"/>
          <w:color w:val="auto"/>
          <w:highlight w:val="none"/>
          <w:lang w:val="en-US" w:eastAsia="zh-CN"/>
        </w:rPr>
        <w:t>6</w:t>
      </w:r>
      <w:r>
        <w:rPr>
          <w:rFonts w:hint="eastAsia" w:ascii="宋体" w:hAnsi="宋体"/>
          <w:color w:val="auto"/>
          <w:highlight w:val="none"/>
        </w:rPr>
        <w:t>.1</w:t>
      </w:r>
      <w:r>
        <w:rPr>
          <w:rFonts w:hint="eastAsia" w:ascii="宋体" w:hAnsi="宋体" w:cs="宋体"/>
          <w:color w:val="auto"/>
          <w:kern w:val="0"/>
          <w:szCs w:val="21"/>
          <w:highlight w:val="none"/>
          <w:lang w:val="zh-CN"/>
        </w:rPr>
        <w:t>款</w:t>
      </w:r>
      <w:r>
        <w:rPr>
          <w:rFonts w:hint="eastAsia" w:hAnsi="宋体"/>
          <w:color w:val="auto"/>
          <w:highlight w:val="none"/>
        </w:rPr>
        <w:t>规定的</w:t>
      </w:r>
      <w:r>
        <w:rPr>
          <w:rFonts w:hint="eastAsia" w:ascii="宋体" w:hAnsi="宋体" w:cs="宋体"/>
          <w:color w:val="auto"/>
          <w:kern w:val="0"/>
          <w:szCs w:val="21"/>
          <w:highlight w:val="none"/>
        </w:rPr>
        <w:t>提交响应文件截止时间</w:t>
      </w:r>
      <w:r>
        <w:rPr>
          <w:rFonts w:hint="eastAsia" w:ascii="宋体" w:hAnsi="宋体"/>
          <w:color w:val="auto"/>
          <w:szCs w:val="21"/>
          <w:highlight w:val="none"/>
        </w:rPr>
        <w:t>前，将响应文件</w:t>
      </w:r>
      <w:r>
        <w:rPr>
          <w:rFonts w:hint="eastAsia" w:ascii="宋体" w:hAnsi="宋体"/>
          <w:color w:val="auto"/>
          <w:szCs w:val="21"/>
          <w:highlight w:val="none"/>
          <w:lang w:eastAsia="zh-CN"/>
        </w:rPr>
        <w:t>提交至</w:t>
      </w:r>
      <w:r>
        <w:rPr>
          <w:rFonts w:hint="eastAsia" w:ascii="宋体" w:hAnsi="宋体"/>
          <w:b/>
          <w:color w:val="auto"/>
          <w:szCs w:val="21"/>
          <w:highlight w:val="none"/>
          <w:lang w:eastAsia="zh-CN"/>
        </w:rPr>
        <w:t>询竞争性谈判聘</w:t>
      </w:r>
      <w:r>
        <w:rPr>
          <w:rFonts w:hint="eastAsia" w:ascii="宋体" w:hAnsi="宋体"/>
          <w:b/>
          <w:color w:val="auto"/>
          <w:szCs w:val="21"/>
          <w:highlight w:val="none"/>
        </w:rPr>
        <w:t>须知前附表</w:t>
      </w:r>
      <w:r>
        <w:rPr>
          <w:rFonts w:hint="eastAsia" w:ascii="宋体" w:hAnsi="宋体"/>
          <w:color w:val="auto"/>
          <w:szCs w:val="21"/>
          <w:highlight w:val="none"/>
        </w:rPr>
        <w:t>中指定的</w:t>
      </w:r>
      <w:r>
        <w:rPr>
          <w:rFonts w:hint="eastAsia" w:ascii="宋体" w:hAnsi="宋体"/>
          <w:color w:val="auto"/>
          <w:szCs w:val="21"/>
          <w:highlight w:val="none"/>
          <w:lang w:eastAsia="zh-CN"/>
        </w:rPr>
        <w:t>地点</w:t>
      </w:r>
      <w:r>
        <w:rPr>
          <w:rFonts w:hint="eastAsia" w:ascii="宋体" w:hAnsi="宋体"/>
          <w:color w:val="auto"/>
          <w:szCs w:val="21"/>
          <w:highlight w:val="none"/>
        </w:rPr>
        <w:t>。</w:t>
      </w:r>
      <w:r>
        <w:rPr>
          <w:rFonts w:hint="eastAsia" w:hAnsi="宋体" w:cs="宋体"/>
          <w:color w:val="auto"/>
          <w:kern w:val="0"/>
          <w:highlight w:val="none"/>
        </w:rPr>
        <w:t>在截止时间后</w:t>
      </w:r>
      <w:r>
        <w:rPr>
          <w:rFonts w:hint="eastAsia" w:hAnsi="宋体" w:cs="宋体"/>
          <w:kern w:val="0"/>
        </w:rPr>
        <w:t>送达的响应文件，采购人应当拒收</w:t>
      </w:r>
      <w:r>
        <w:rPr>
          <w:rFonts w:hint="eastAsia" w:hAnsi="宋体" w:cs="宋体"/>
          <w:color w:val="auto"/>
          <w:kern w:val="0"/>
          <w:highlight w:val="none"/>
        </w:rPr>
        <w:t>。。</w:t>
      </w:r>
    </w:p>
    <w:p w14:paraId="07FE6435">
      <w:pPr>
        <w:keepNext w:val="0"/>
        <w:keepLines w:val="0"/>
        <w:pageBreakBefore w:val="0"/>
        <w:kinsoku/>
        <w:wordWrap/>
        <w:overflowPunct/>
        <w:topLinePunct w:val="0"/>
        <w:autoSpaceDE/>
        <w:bidi w:val="0"/>
        <w:adjustRightInd w:val="0"/>
        <w:snapToGrid w:val="0"/>
        <w:spacing w:line="240" w:lineRule="auto"/>
        <w:textAlignment w:val="auto"/>
        <w:rPr>
          <w:rFonts w:ascii="黑体" w:hAnsi="宋体" w:eastAsia="黑体"/>
          <w:color w:val="auto"/>
          <w:sz w:val="24"/>
          <w:highlight w:val="none"/>
        </w:rPr>
      </w:pPr>
      <w:r>
        <w:rPr>
          <w:rFonts w:hint="eastAsia" w:ascii="黑体" w:hAnsi="宋体" w:eastAsia="黑体"/>
          <w:color w:val="auto"/>
          <w:sz w:val="24"/>
          <w:highlight w:val="none"/>
        </w:rPr>
        <w:t>五、开标和评审</w:t>
      </w:r>
    </w:p>
    <w:p w14:paraId="0D431511">
      <w:pPr>
        <w:keepNext w:val="0"/>
        <w:keepLines w:val="0"/>
        <w:pageBreakBefore w:val="0"/>
        <w:kinsoku/>
        <w:wordWrap/>
        <w:overflowPunct/>
        <w:topLinePunct w:val="0"/>
        <w:autoSpaceDE/>
        <w:bidi w:val="0"/>
        <w:spacing w:line="240" w:lineRule="auto"/>
        <w:jc w:val="left"/>
        <w:textAlignment w:val="auto"/>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.开标</w:t>
      </w:r>
    </w:p>
    <w:p w14:paraId="6C5A8859">
      <w:pPr>
        <w:keepNext w:val="0"/>
        <w:keepLines w:val="0"/>
        <w:pageBreakBefore w:val="0"/>
        <w:tabs>
          <w:tab w:val="left" w:pos="570"/>
          <w:tab w:val="left" w:pos="7560"/>
          <w:tab w:val="left" w:pos="7740"/>
          <w:tab w:val="left" w:pos="8280"/>
        </w:tabs>
        <w:kinsoku/>
        <w:wordWrap/>
        <w:overflowPunct/>
        <w:topLinePunct w:val="0"/>
        <w:autoSpaceDE/>
        <w:bidi w:val="0"/>
        <w:spacing w:line="24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.1在本章第9.1</w:t>
      </w:r>
      <w:r>
        <w:rPr>
          <w:rFonts w:hint="eastAsia" w:ascii="宋体" w:hAnsi="宋体" w:cs="宋体"/>
          <w:color w:val="auto"/>
          <w:szCs w:val="21"/>
          <w:highlight w:val="none"/>
          <w:lang w:val="zh-CN"/>
        </w:rPr>
        <w:t>款</w:t>
      </w:r>
      <w:r>
        <w:rPr>
          <w:rFonts w:hint="eastAsia" w:ascii="宋体" w:hAnsi="宋体" w:cs="宋体"/>
          <w:color w:val="auto"/>
          <w:szCs w:val="21"/>
          <w:highlight w:val="none"/>
        </w:rPr>
        <w:t>规定的提交响应文件的截止时间(开标时间)和本章第</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.1项规定的地点组织开标，并邀请所有供应商法定代表人或其授权的代理人参加</w:t>
      </w:r>
      <w:r>
        <w:rPr>
          <w:rFonts w:hint="eastAsia" w:ascii="宋体" w:hAnsi="宋体" w:cs="宋体"/>
          <w:color w:val="auto"/>
          <w:szCs w:val="21"/>
          <w:highlight w:val="none"/>
          <w:lang w:eastAsia="zh-CN"/>
        </w:rPr>
        <w:t>，</w:t>
      </w:r>
      <w:r>
        <w:rPr>
          <w:rFonts w:hint="eastAsia" w:ascii="宋体" w:hAnsi="宋体" w:cs="宋体"/>
          <w:color w:val="auto"/>
          <w:szCs w:val="21"/>
          <w:highlight w:val="none"/>
        </w:rPr>
        <w:t>采购</w:t>
      </w:r>
      <w:r>
        <w:rPr>
          <w:rFonts w:hint="eastAsia" w:ascii="宋体" w:hAnsi="宋体" w:cs="宋体"/>
          <w:color w:val="auto"/>
          <w:szCs w:val="21"/>
          <w:highlight w:val="none"/>
          <w:lang w:eastAsia="zh-CN"/>
        </w:rPr>
        <w:t>人</w:t>
      </w:r>
      <w:r>
        <w:rPr>
          <w:rFonts w:hint="eastAsia" w:ascii="宋体" w:hAnsi="宋体" w:cs="宋体"/>
          <w:color w:val="auto"/>
          <w:szCs w:val="21"/>
          <w:highlight w:val="none"/>
        </w:rPr>
        <w:t>在提交响应文件的截止时间(开标时间)</w:t>
      </w:r>
      <w:r>
        <w:rPr>
          <w:rFonts w:hint="eastAsia" w:ascii="宋体" w:hAnsi="宋体" w:cs="宋体"/>
          <w:color w:val="auto"/>
          <w:szCs w:val="21"/>
          <w:highlight w:val="none"/>
          <w:lang w:eastAsia="zh-CN"/>
        </w:rPr>
        <w:t>进行</w:t>
      </w:r>
      <w:r>
        <w:rPr>
          <w:rFonts w:hint="eastAsia" w:ascii="宋体" w:hAnsi="宋体" w:cs="宋体"/>
          <w:color w:val="auto"/>
          <w:szCs w:val="21"/>
          <w:highlight w:val="none"/>
        </w:rPr>
        <w:t>开标</w:t>
      </w:r>
      <w:r>
        <w:rPr>
          <w:rFonts w:hint="eastAsia" w:ascii="宋体" w:hAnsi="宋体" w:cs="宋体"/>
          <w:b w:val="0"/>
          <w:bCs w:val="0"/>
          <w:color w:val="auto"/>
          <w:szCs w:val="21"/>
          <w:highlight w:val="none"/>
        </w:rPr>
        <w:t>。</w:t>
      </w:r>
    </w:p>
    <w:p w14:paraId="2D20502B">
      <w:pPr>
        <w:keepNext w:val="0"/>
        <w:keepLines w:val="0"/>
        <w:pageBreakBefore w:val="0"/>
        <w:kinsoku/>
        <w:wordWrap/>
        <w:overflowPunct/>
        <w:topLinePunct w:val="0"/>
        <w:autoSpaceDE/>
        <w:bidi w:val="0"/>
        <w:spacing w:line="24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 xml:space="preserve">.2 </w:t>
      </w:r>
      <w:r>
        <w:rPr>
          <w:rFonts w:hint="eastAsia" w:ascii="宋体" w:hAnsi="宋体" w:cs="宋体"/>
          <w:color w:val="auto"/>
          <w:szCs w:val="21"/>
          <w:highlight w:val="none"/>
          <w:lang w:eastAsia="zh-CN"/>
        </w:rPr>
        <w:t>在采购人选定中标方式为最低价中标时，确定价格合理且最低价的三家供应商入围，入围后会通知入围供应商进行二次报价。</w:t>
      </w:r>
    </w:p>
    <w:p w14:paraId="1ED83F98">
      <w:pPr>
        <w:keepNext w:val="0"/>
        <w:keepLines w:val="0"/>
        <w:pageBreakBefore w:val="0"/>
        <w:kinsoku/>
        <w:wordWrap/>
        <w:overflowPunct/>
        <w:topLinePunct w:val="0"/>
        <w:autoSpaceDE/>
        <w:bidi w:val="0"/>
        <w:spacing w:line="24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xml:space="preserve"> 开标时，响应文件中报价一览表内容与响应文件中分项价格表内容不一致的，以报价一览表为准。</w:t>
      </w:r>
    </w:p>
    <w:p w14:paraId="335F40F4">
      <w:pPr>
        <w:keepNext w:val="0"/>
        <w:keepLines w:val="0"/>
        <w:pageBreakBefore w:val="0"/>
        <w:kinsoku/>
        <w:wordWrap/>
        <w:overflowPunct/>
        <w:topLinePunct w:val="0"/>
        <w:autoSpaceDE/>
        <w:bidi w:val="0"/>
        <w:spacing w:line="240" w:lineRule="auto"/>
        <w:jc w:val="left"/>
        <w:textAlignment w:val="auto"/>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.评审小组</w:t>
      </w:r>
    </w:p>
    <w:p w14:paraId="7B3D6805">
      <w:pPr>
        <w:keepNext w:val="0"/>
        <w:keepLines w:val="0"/>
        <w:pageBreakBefore w:val="0"/>
        <w:kinsoku/>
        <w:wordWrap/>
        <w:overflowPunct/>
        <w:topLinePunct w:val="0"/>
        <w:autoSpaceDE/>
        <w:bidi w:val="0"/>
        <w:spacing w:line="24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w:t>
      </w:r>
      <w:r>
        <w:rPr>
          <w:rFonts w:hint="eastAsia" w:ascii="宋体" w:hAnsi="宋体" w:cs="宋体"/>
          <w:color w:val="auto"/>
          <w:szCs w:val="21"/>
          <w:highlight w:val="none"/>
          <w:lang w:eastAsia="zh-CN"/>
        </w:rPr>
        <w:t>评审小组由集团专家库</w:t>
      </w:r>
      <w:r>
        <w:rPr>
          <w:rFonts w:hint="eastAsia" w:ascii="宋体" w:hAnsi="宋体" w:cs="宋体"/>
          <w:color w:val="auto"/>
          <w:szCs w:val="21"/>
          <w:highlight w:val="none"/>
          <w:lang w:val="en-US" w:eastAsia="zh-CN"/>
        </w:rPr>
        <w:t>或</w:t>
      </w:r>
      <w:r>
        <w:rPr>
          <w:rFonts w:hint="eastAsia" w:ascii="宋体" w:hAnsi="宋体" w:cs="宋体"/>
          <w:color w:val="auto"/>
          <w:szCs w:val="21"/>
          <w:highlight w:val="none"/>
          <w:lang w:eastAsia="zh-CN"/>
        </w:rPr>
        <w:t>公司相关专业人员摇号组成评审小组。受纪检</w:t>
      </w:r>
      <w:r>
        <w:rPr>
          <w:rFonts w:hint="eastAsia" w:ascii="宋体" w:hAnsi="宋体" w:cs="宋体"/>
          <w:color w:val="auto"/>
          <w:szCs w:val="21"/>
          <w:highlight w:val="none"/>
          <w:lang w:val="en-US" w:eastAsia="zh-CN"/>
        </w:rPr>
        <w:t>部门</w:t>
      </w:r>
      <w:r>
        <w:rPr>
          <w:rFonts w:hint="eastAsia" w:ascii="宋体" w:hAnsi="宋体" w:cs="宋体"/>
          <w:color w:val="auto"/>
          <w:szCs w:val="21"/>
          <w:highlight w:val="none"/>
          <w:lang w:eastAsia="zh-CN"/>
        </w:rPr>
        <w:t>监督。</w:t>
      </w:r>
    </w:p>
    <w:p w14:paraId="0506AC36">
      <w:pPr>
        <w:keepNext w:val="0"/>
        <w:keepLines w:val="0"/>
        <w:pageBreakBefore w:val="0"/>
        <w:kinsoku/>
        <w:wordWrap/>
        <w:overflowPunct/>
        <w:topLinePunct w:val="0"/>
        <w:autoSpaceDE/>
        <w:bidi w:val="0"/>
        <w:spacing w:line="24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评审小组负责具体评标事务，并独立履行下列职责：</w:t>
      </w:r>
    </w:p>
    <w:p w14:paraId="7547E009">
      <w:pPr>
        <w:keepNext w:val="0"/>
        <w:keepLines w:val="0"/>
        <w:pageBreakBefore w:val="0"/>
        <w:kinsoku/>
        <w:wordWrap/>
        <w:overflowPunct/>
        <w:topLinePunct w:val="0"/>
        <w:autoSpaceDE/>
        <w:bidi w:val="0"/>
        <w:spacing w:line="24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（1）审查、评价响应文件是否符合采购文件的商务、技术等实质性要求；</w:t>
      </w:r>
    </w:p>
    <w:p w14:paraId="027C6354">
      <w:pPr>
        <w:keepNext w:val="0"/>
        <w:keepLines w:val="0"/>
        <w:pageBreakBefore w:val="0"/>
        <w:kinsoku/>
        <w:wordWrap/>
        <w:overflowPunct/>
        <w:topLinePunct w:val="0"/>
        <w:autoSpaceDE/>
        <w:bidi w:val="0"/>
        <w:spacing w:line="24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（2）要求供应商对响应文件有关事项作出澄清或者说明；</w:t>
      </w:r>
    </w:p>
    <w:p w14:paraId="327CA186">
      <w:pPr>
        <w:keepNext w:val="0"/>
        <w:keepLines w:val="0"/>
        <w:pageBreakBefore w:val="0"/>
        <w:kinsoku/>
        <w:wordWrap/>
        <w:overflowPunct/>
        <w:topLinePunct w:val="0"/>
        <w:autoSpaceDE/>
        <w:bidi w:val="0"/>
        <w:spacing w:line="24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（3）对响应文件进行比较和评价；</w:t>
      </w:r>
    </w:p>
    <w:p w14:paraId="2D99B218">
      <w:pPr>
        <w:keepNext w:val="0"/>
        <w:keepLines w:val="0"/>
        <w:pageBreakBefore w:val="0"/>
        <w:kinsoku/>
        <w:wordWrap/>
        <w:overflowPunct/>
        <w:topLinePunct w:val="0"/>
        <w:autoSpaceDE/>
        <w:bidi w:val="0"/>
        <w:spacing w:line="24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（4）确定成交候选人名单，以及根据采购人直接确定成交供应商；</w:t>
      </w:r>
    </w:p>
    <w:p w14:paraId="52727562">
      <w:pPr>
        <w:keepNext w:val="0"/>
        <w:keepLines w:val="0"/>
        <w:pageBreakBefore w:val="0"/>
        <w:kinsoku/>
        <w:wordWrap/>
        <w:overflowPunct/>
        <w:topLinePunct w:val="0"/>
        <w:autoSpaceDE/>
        <w:bidi w:val="0"/>
        <w:spacing w:line="240" w:lineRule="auto"/>
        <w:ind w:firstLine="420" w:firstLineChars="200"/>
        <w:jc w:val="left"/>
        <w:textAlignment w:val="auto"/>
        <w:rPr>
          <w:color w:val="auto"/>
          <w:highlight w:val="none"/>
        </w:rPr>
      </w:pPr>
      <w:r>
        <w:rPr>
          <w:rFonts w:hint="eastAsia" w:ascii="宋体" w:hAnsi="宋体" w:cs="宋体"/>
          <w:color w:val="auto"/>
          <w:highlight w:val="none"/>
        </w:rPr>
        <w:t>（5）向采购人、或者有关部门报告评审中发现的违法行为。</w:t>
      </w:r>
    </w:p>
    <w:p w14:paraId="11D2BBBB">
      <w:pPr>
        <w:pStyle w:val="13"/>
        <w:keepNext w:val="0"/>
        <w:keepLines w:val="0"/>
        <w:pageBreakBefore w:val="0"/>
        <w:kinsoku/>
        <w:wordWrap/>
        <w:overflowPunct/>
        <w:topLinePunct w:val="0"/>
        <w:autoSpaceDE/>
        <w:bidi w:val="0"/>
        <w:spacing w:line="240" w:lineRule="auto"/>
        <w:jc w:val="left"/>
        <w:textAlignment w:val="auto"/>
        <w:rPr>
          <w:rFonts w:hAnsi="宋体" w:cs="宋体"/>
          <w:b/>
          <w:bCs/>
          <w:color w:val="auto"/>
          <w:highlight w:val="none"/>
        </w:rPr>
      </w:pPr>
      <w:r>
        <w:rPr>
          <w:rFonts w:hint="eastAsia" w:hAnsi="宋体" w:cs="宋体"/>
          <w:b/>
          <w:bCs/>
          <w:color w:val="auto"/>
          <w:highlight w:val="none"/>
        </w:rPr>
        <w:t>2</w:t>
      </w:r>
      <w:r>
        <w:rPr>
          <w:rFonts w:hint="eastAsia" w:hAnsi="宋体" w:cs="宋体"/>
          <w:b/>
          <w:bCs/>
          <w:color w:val="auto"/>
          <w:highlight w:val="none"/>
          <w:lang w:val="en-US" w:eastAsia="zh-CN"/>
        </w:rPr>
        <w:t>3</w:t>
      </w:r>
      <w:r>
        <w:rPr>
          <w:rFonts w:hint="eastAsia" w:hAnsi="宋体" w:cs="宋体"/>
          <w:b/>
          <w:bCs/>
          <w:color w:val="auto"/>
          <w:highlight w:val="none"/>
        </w:rPr>
        <w:t>.评审</w:t>
      </w:r>
    </w:p>
    <w:p w14:paraId="0A659595">
      <w:pPr>
        <w:pStyle w:val="13"/>
        <w:keepNext w:val="0"/>
        <w:keepLines w:val="0"/>
        <w:pageBreakBefore w:val="0"/>
        <w:kinsoku/>
        <w:wordWrap/>
        <w:overflowPunct/>
        <w:topLinePunct w:val="0"/>
        <w:autoSpaceDE/>
        <w:bidi w:val="0"/>
        <w:spacing w:line="240" w:lineRule="auto"/>
        <w:ind w:firstLine="420" w:firstLineChars="200"/>
        <w:jc w:val="left"/>
        <w:textAlignment w:val="auto"/>
        <w:rPr>
          <w:rFonts w:hAnsi="宋体" w:cs="宋体"/>
          <w:color w:val="auto"/>
          <w:highlight w:val="none"/>
        </w:rPr>
      </w:pPr>
      <w:r>
        <w:rPr>
          <w:rFonts w:hint="eastAsia" w:hAnsi="宋体" w:cs="宋体"/>
          <w:color w:val="auto"/>
          <w:highlight w:val="none"/>
        </w:rPr>
        <w:t>2</w:t>
      </w:r>
      <w:r>
        <w:rPr>
          <w:rFonts w:hint="eastAsia" w:hAnsi="宋体" w:cs="宋体"/>
          <w:color w:val="auto"/>
          <w:highlight w:val="none"/>
          <w:lang w:val="en-US" w:eastAsia="zh-CN"/>
        </w:rPr>
        <w:t>3</w:t>
      </w:r>
      <w:r>
        <w:rPr>
          <w:rFonts w:hint="eastAsia" w:hAnsi="宋体" w:cs="宋体"/>
          <w:color w:val="auto"/>
          <w:highlight w:val="none"/>
        </w:rPr>
        <w:t>.1 评审小组按照</w:t>
      </w:r>
      <w:r>
        <w:rPr>
          <w:rFonts w:hint="eastAsia" w:hAnsi="宋体" w:cs="宋体"/>
          <w:bCs/>
          <w:color w:val="auto"/>
          <w:highlight w:val="none"/>
        </w:rPr>
        <w:t>第</w:t>
      </w:r>
      <w:r>
        <w:rPr>
          <w:rFonts w:hint="eastAsia" w:hAnsi="宋体" w:cs="宋体"/>
          <w:bCs/>
          <w:color w:val="auto"/>
          <w:highlight w:val="none"/>
          <w:lang w:eastAsia="zh-CN"/>
        </w:rPr>
        <w:t>三</w:t>
      </w:r>
      <w:r>
        <w:rPr>
          <w:rFonts w:hint="eastAsia" w:hAnsi="宋体" w:cs="宋体"/>
          <w:bCs/>
          <w:color w:val="auto"/>
          <w:highlight w:val="none"/>
        </w:rPr>
        <w:t>章“评审办法”</w:t>
      </w:r>
      <w:r>
        <w:rPr>
          <w:rFonts w:hint="eastAsia" w:hAnsi="宋体" w:cs="宋体"/>
          <w:color w:val="auto"/>
          <w:highlight w:val="none"/>
        </w:rPr>
        <w:t xml:space="preserve"> 规定的评审方法、评审因素、标准和程序以及有关法律、法规及规章对响应文件进行评审。</w:t>
      </w:r>
    </w:p>
    <w:p w14:paraId="1DDD8308">
      <w:pPr>
        <w:keepNext w:val="0"/>
        <w:keepLines w:val="0"/>
        <w:pageBreakBefore w:val="0"/>
        <w:kinsoku/>
        <w:wordWrap/>
        <w:overflowPunct/>
        <w:topLinePunct w:val="0"/>
        <w:autoSpaceDE/>
        <w:bidi w:val="0"/>
        <w:adjustRightInd w:val="0"/>
        <w:snapToGrid w:val="0"/>
        <w:spacing w:line="240" w:lineRule="auto"/>
        <w:textAlignment w:val="auto"/>
        <w:rPr>
          <w:rFonts w:ascii="黑体" w:hAnsi="宋体" w:eastAsia="黑体"/>
          <w:color w:val="auto"/>
          <w:sz w:val="24"/>
          <w:highlight w:val="none"/>
        </w:rPr>
      </w:pPr>
      <w:r>
        <w:rPr>
          <w:rFonts w:hint="eastAsia" w:ascii="黑体" w:hAnsi="宋体" w:eastAsia="黑体"/>
          <w:color w:val="auto"/>
          <w:sz w:val="24"/>
          <w:highlight w:val="none"/>
        </w:rPr>
        <w:t>六、成交结果信息公布与供应商质疑</w:t>
      </w:r>
    </w:p>
    <w:p w14:paraId="4345081D">
      <w:pPr>
        <w:keepNext w:val="0"/>
        <w:keepLines w:val="0"/>
        <w:pageBreakBefore w:val="0"/>
        <w:kinsoku/>
        <w:wordWrap/>
        <w:overflowPunct/>
        <w:topLinePunct w:val="0"/>
        <w:autoSpaceDE/>
        <w:bidi w:val="0"/>
        <w:spacing w:line="240" w:lineRule="auto"/>
        <w:jc w:val="left"/>
        <w:textAlignment w:val="auto"/>
        <w:rPr>
          <w:rFonts w:ascii="宋体" w:hAnsi="宋体" w:cs="宋体"/>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.成交信息公布</w:t>
      </w:r>
    </w:p>
    <w:p w14:paraId="3802F5F0">
      <w:pPr>
        <w:keepNext w:val="0"/>
        <w:keepLines w:val="0"/>
        <w:pageBreakBefore w:val="0"/>
        <w:kinsoku/>
        <w:wordWrap/>
        <w:overflowPunct/>
        <w:topLinePunct w:val="0"/>
        <w:autoSpaceDE/>
        <w:bidi w:val="0"/>
        <w:spacing w:line="24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.1</w:t>
      </w:r>
      <w:r>
        <w:rPr>
          <w:rFonts w:hint="eastAsia" w:ascii="宋体" w:hAnsi="宋体" w:cs="宋体"/>
          <w:color w:val="auto"/>
          <w:szCs w:val="21"/>
          <w:highlight w:val="none"/>
          <w:lang w:eastAsia="zh-CN"/>
        </w:rPr>
        <w:t>我司于</w:t>
      </w:r>
      <w:r>
        <w:rPr>
          <w:rFonts w:hint="eastAsia" w:ascii="宋体" w:hAnsi="宋体" w:cs="宋体"/>
          <w:color w:val="auto"/>
          <w:szCs w:val="21"/>
          <w:highlight w:val="none"/>
        </w:rPr>
        <w:t>在评审结束后</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个工作日内</w:t>
      </w:r>
      <w:r>
        <w:rPr>
          <w:rFonts w:hint="eastAsia" w:ascii="宋体" w:hAnsi="宋体" w:cs="宋体"/>
          <w:color w:val="auto"/>
          <w:szCs w:val="21"/>
          <w:highlight w:val="none"/>
          <w:lang w:eastAsia="zh-CN"/>
        </w:rPr>
        <w:t>出具</w:t>
      </w:r>
      <w:r>
        <w:rPr>
          <w:rFonts w:hint="eastAsia" w:ascii="宋体" w:hAnsi="宋体" w:cs="宋体"/>
          <w:color w:val="auto"/>
          <w:szCs w:val="21"/>
          <w:highlight w:val="none"/>
        </w:rPr>
        <w:t>评审报告。</w:t>
      </w:r>
    </w:p>
    <w:p w14:paraId="49E196E8">
      <w:pPr>
        <w:keepNext w:val="0"/>
        <w:keepLines w:val="0"/>
        <w:pageBreakBefore w:val="0"/>
        <w:kinsoku/>
        <w:wordWrap/>
        <w:overflowPunct/>
        <w:topLinePunct w:val="0"/>
        <w:autoSpaceDE/>
        <w:bidi w:val="0"/>
        <w:spacing w:line="240" w:lineRule="auto"/>
        <w:ind w:firstLine="420" w:firstLineChars="200"/>
        <w:jc w:val="left"/>
        <w:textAlignment w:val="auto"/>
        <w:rPr>
          <w:rFonts w:ascii="宋体" w:hAnsi="宋体"/>
          <w:b/>
          <w:bCs/>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 w:val="21"/>
          <w:szCs w:val="21"/>
          <w:highlight w:val="none"/>
          <w:lang w:eastAsia="zh-CN"/>
        </w:rPr>
        <w:t>我司于出具评</w:t>
      </w:r>
      <w:r>
        <w:rPr>
          <w:rFonts w:hint="eastAsia" w:ascii="宋体" w:hAnsi="宋体" w:eastAsia="宋体" w:cs="宋体"/>
          <w:color w:val="auto"/>
          <w:sz w:val="21"/>
          <w:szCs w:val="21"/>
          <w:highlight w:val="none"/>
          <w:lang w:eastAsia="zh-CN"/>
        </w:rPr>
        <w:t>审</w:t>
      </w:r>
      <w:r>
        <w:rPr>
          <w:rFonts w:hint="eastAsia" w:ascii="宋体" w:hAnsi="宋体" w:eastAsia="宋体" w:cs="宋体"/>
          <w:color w:val="auto"/>
          <w:sz w:val="21"/>
          <w:szCs w:val="21"/>
          <w:highlight w:val="none"/>
        </w:rPr>
        <w:t>报告之日起５个工作日内，</w:t>
      </w:r>
      <w:r>
        <w:rPr>
          <w:rFonts w:hint="eastAsia" w:ascii="宋体" w:hAnsi="宋体" w:cs="宋体"/>
          <w:color w:val="auto"/>
          <w:sz w:val="21"/>
          <w:szCs w:val="21"/>
          <w:highlight w:val="none"/>
          <w:lang w:val="en-US" w:eastAsia="zh-CN"/>
        </w:rPr>
        <w:t>在</w:t>
      </w:r>
      <w:r>
        <w:rPr>
          <w:rFonts w:hint="eastAsia" w:hAnsi="宋体"/>
          <w:b/>
          <w:color w:val="auto"/>
          <w:highlight w:val="none"/>
          <w:lang w:eastAsia="zh-CN"/>
        </w:rPr>
        <w:t>供应商须知</w:t>
      </w:r>
      <w:r>
        <w:rPr>
          <w:rFonts w:hint="eastAsia" w:hAnsi="宋体"/>
          <w:b/>
          <w:color w:val="auto"/>
          <w:highlight w:val="none"/>
        </w:rPr>
        <w:t>前附</w:t>
      </w:r>
      <w:r>
        <w:rPr>
          <w:rFonts w:hint="eastAsia" w:hAnsi="宋体"/>
          <w:b/>
          <w:color w:val="auto"/>
          <w:highlight w:val="none"/>
          <w:lang w:val="en-US" w:eastAsia="zh-CN"/>
        </w:rPr>
        <w:t>表</w:t>
      </w:r>
      <w:r>
        <w:rPr>
          <w:rFonts w:hint="eastAsia" w:ascii="宋体" w:hAnsi="宋体" w:eastAsia="宋体" w:cs="宋体"/>
          <w:color w:val="auto"/>
          <w:sz w:val="21"/>
          <w:szCs w:val="21"/>
          <w:highlight w:val="none"/>
          <w:lang w:val="en-US" w:eastAsia="zh-CN"/>
        </w:rPr>
        <w:t>指定的媒介</w:t>
      </w:r>
      <w:r>
        <w:rPr>
          <w:rFonts w:hint="eastAsia" w:ascii="宋体" w:hAnsi="宋体" w:cs="宋体"/>
          <w:color w:val="auto"/>
          <w:sz w:val="21"/>
          <w:szCs w:val="21"/>
          <w:highlight w:val="none"/>
          <w:lang w:val="en-US" w:eastAsia="zh-CN"/>
        </w:rPr>
        <w:t>公示成交候选人，公示期不少于3日。</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候选人并列的，由采购人或者采购人</w:t>
      </w:r>
      <w:r>
        <w:rPr>
          <w:rFonts w:hint="eastAsia" w:ascii="宋体" w:hAnsi="宋体" w:eastAsia="宋体" w:cs="宋体"/>
          <w:color w:val="auto"/>
          <w:sz w:val="21"/>
          <w:szCs w:val="21"/>
          <w:highlight w:val="none"/>
          <w:lang w:eastAsia="zh-CN"/>
        </w:rPr>
        <w:t>评审小组</w:t>
      </w:r>
      <w:r>
        <w:rPr>
          <w:rFonts w:hint="eastAsia" w:ascii="宋体" w:hAnsi="宋体" w:eastAsia="宋体" w:cs="宋体"/>
          <w:color w:val="auto"/>
          <w:sz w:val="21"/>
          <w:szCs w:val="21"/>
          <w:highlight w:val="none"/>
        </w:rPr>
        <w:t>按照</w:t>
      </w:r>
      <w:r>
        <w:rPr>
          <w:rFonts w:hint="eastAsia" w:hAnsi="宋体"/>
          <w:b/>
          <w:color w:val="auto"/>
          <w:highlight w:val="none"/>
          <w:lang w:eastAsia="zh-CN"/>
        </w:rPr>
        <w:t>供应商须知</w:t>
      </w:r>
      <w:r>
        <w:rPr>
          <w:rFonts w:hint="eastAsia" w:hAnsi="宋体"/>
          <w:b/>
          <w:color w:val="auto"/>
          <w:highlight w:val="none"/>
        </w:rPr>
        <w:t>前附表</w:t>
      </w:r>
      <w:r>
        <w:rPr>
          <w:rFonts w:hint="eastAsia" w:ascii="宋体" w:hAnsi="宋体" w:eastAsia="宋体" w:cs="宋体"/>
          <w:color w:val="auto"/>
          <w:sz w:val="21"/>
          <w:szCs w:val="21"/>
          <w:highlight w:val="none"/>
        </w:rPr>
        <w:t>规定的方式确定</w:t>
      </w:r>
      <w:r>
        <w:rPr>
          <w:rFonts w:hint="eastAsia" w:ascii="宋体" w:hAnsi="宋体" w:eastAsia="宋体" w:cs="宋体"/>
          <w:color w:val="auto"/>
          <w:sz w:val="21"/>
          <w:szCs w:val="21"/>
          <w:highlight w:val="none"/>
          <w:lang w:eastAsia="zh-CN"/>
        </w:rPr>
        <w:t>成交</w:t>
      </w:r>
      <w:r>
        <w:rPr>
          <w:rFonts w:hint="eastAsia" w:ascii="宋体" w:hAnsi="宋体" w:cs="宋体"/>
          <w:color w:val="auto"/>
          <w:sz w:val="21"/>
          <w:szCs w:val="21"/>
          <w:highlight w:val="none"/>
          <w:lang w:eastAsia="zh-CN"/>
        </w:rPr>
        <w:t>候选人排序</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文件未规定的，采取随机抽取的方式确定</w:t>
      </w:r>
      <w:r>
        <w:rPr>
          <w:rFonts w:hint="eastAsia" w:ascii="宋体" w:hAnsi="宋体" w:cs="宋体"/>
          <w:color w:val="auto"/>
          <w:szCs w:val="21"/>
          <w:highlight w:val="none"/>
        </w:rPr>
        <w:t>。</w:t>
      </w:r>
    </w:p>
    <w:p w14:paraId="08D4600F">
      <w:pPr>
        <w:keepNext w:val="0"/>
        <w:keepLines w:val="0"/>
        <w:pageBreakBefore w:val="0"/>
        <w:kinsoku/>
        <w:wordWrap/>
        <w:overflowPunct/>
        <w:topLinePunct w:val="0"/>
        <w:autoSpaceDE/>
        <w:bidi w:val="0"/>
        <w:adjustRightInd w:val="0"/>
        <w:snapToGrid w:val="0"/>
        <w:spacing w:line="240" w:lineRule="auto"/>
        <w:textAlignment w:val="auto"/>
        <w:rPr>
          <w:rFonts w:ascii="宋体" w:hAnsi="宋体"/>
          <w:b/>
          <w:bCs/>
          <w:color w:val="auto"/>
          <w:szCs w:val="21"/>
          <w:highlight w:val="none"/>
        </w:rPr>
      </w:pPr>
      <w:r>
        <w:rPr>
          <w:rFonts w:hint="eastAsia" w:ascii="宋体" w:hAnsi="宋体"/>
          <w:b/>
          <w:bCs/>
          <w:color w:val="auto"/>
          <w:szCs w:val="21"/>
          <w:highlight w:val="none"/>
        </w:rPr>
        <w:t>2</w:t>
      </w:r>
      <w:r>
        <w:rPr>
          <w:rFonts w:hint="eastAsia" w:ascii="宋体" w:hAnsi="宋体"/>
          <w:b/>
          <w:bCs/>
          <w:color w:val="auto"/>
          <w:szCs w:val="21"/>
          <w:highlight w:val="none"/>
          <w:lang w:val="en-US" w:eastAsia="zh-CN"/>
        </w:rPr>
        <w:t>5</w:t>
      </w:r>
      <w:r>
        <w:rPr>
          <w:rFonts w:hint="eastAsia" w:ascii="宋体" w:hAnsi="宋体"/>
          <w:b/>
          <w:bCs/>
          <w:color w:val="auto"/>
          <w:szCs w:val="21"/>
          <w:highlight w:val="none"/>
        </w:rPr>
        <w:t>.询问及质疑</w:t>
      </w:r>
    </w:p>
    <w:p w14:paraId="33605118">
      <w:pPr>
        <w:pStyle w:val="13"/>
        <w:keepNext w:val="0"/>
        <w:keepLines w:val="0"/>
        <w:pageBreakBefore w:val="0"/>
        <w:kinsoku/>
        <w:wordWrap/>
        <w:overflowPunct/>
        <w:topLinePunct w:val="0"/>
        <w:autoSpaceDE/>
        <w:bidi w:val="0"/>
        <w:adjustRightInd w:val="0"/>
        <w:snapToGrid w:val="0"/>
        <w:spacing w:line="240" w:lineRule="auto"/>
        <w:ind w:firstLine="420" w:firstLineChars="200"/>
        <w:textAlignment w:val="auto"/>
        <w:rPr>
          <w:rFonts w:hAnsi="宋体"/>
          <w:color w:val="auto"/>
          <w:highlight w:val="none"/>
        </w:rPr>
      </w:pPr>
      <w:r>
        <w:rPr>
          <w:rFonts w:hint="eastAsia" w:hAnsi="宋体"/>
          <w:color w:val="auto"/>
          <w:highlight w:val="none"/>
        </w:rPr>
        <w:t>2</w:t>
      </w:r>
      <w:r>
        <w:rPr>
          <w:rFonts w:hint="eastAsia" w:hAnsi="宋体"/>
          <w:color w:val="auto"/>
          <w:highlight w:val="none"/>
          <w:lang w:val="en-US" w:eastAsia="zh-CN"/>
        </w:rPr>
        <w:t>5</w:t>
      </w:r>
      <w:r>
        <w:rPr>
          <w:rFonts w:hint="eastAsia" w:hAnsi="宋体"/>
          <w:color w:val="auto"/>
          <w:highlight w:val="none"/>
        </w:rPr>
        <w:t>.1供应商对采购活动事项有疑问的，可以向采购人或提出询问。采购人或将在三日内做出答复。</w:t>
      </w:r>
    </w:p>
    <w:p w14:paraId="26ED5887">
      <w:pPr>
        <w:pStyle w:val="13"/>
        <w:keepNext w:val="0"/>
        <w:keepLines w:val="0"/>
        <w:pageBreakBefore w:val="0"/>
        <w:kinsoku/>
        <w:wordWrap/>
        <w:overflowPunct/>
        <w:topLinePunct w:val="0"/>
        <w:autoSpaceDE/>
        <w:bidi w:val="0"/>
        <w:adjustRightInd w:val="0"/>
        <w:snapToGrid w:val="0"/>
        <w:spacing w:line="240" w:lineRule="auto"/>
        <w:ind w:firstLine="420" w:firstLineChars="200"/>
        <w:textAlignment w:val="auto"/>
        <w:rPr>
          <w:rFonts w:hAnsi="宋体"/>
          <w:color w:val="auto"/>
          <w:highlight w:val="none"/>
        </w:rPr>
      </w:pPr>
      <w:r>
        <w:rPr>
          <w:rFonts w:hint="eastAsia" w:hAnsi="宋体"/>
          <w:color w:val="auto"/>
          <w:highlight w:val="none"/>
        </w:rPr>
        <w:t>2</w:t>
      </w:r>
      <w:r>
        <w:rPr>
          <w:rFonts w:hint="eastAsia" w:hAnsi="宋体"/>
          <w:color w:val="auto"/>
          <w:highlight w:val="none"/>
          <w:lang w:val="en-US" w:eastAsia="zh-CN"/>
        </w:rPr>
        <w:t>5</w:t>
      </w:r>
      <w:r>
        <w:rPr>
          <w:rFonts w:hint="eastAsia" w:hAnsi="宋体"/>
          <w:color w:val="auto"/>
          <w:highlight w:val="none"/>
        </w:rPr>
        <w:t>.2供应商若认为采购文件、采购过程和成交结果使自己的权益受到损害，应当在下列时间内以书面形式向采购人或提出：</w:t>
      </w:r>
    </w:p>
    <w:p w14:paraId="38093D8C">
      <w:pPr>
        <w:pStyle w:val="13"/>
        <w:keepNext w:val="0"/>
        <w:keepLines w:val="0"/>
        <w:pageBreakBefore w:val="0"/>
        <w:kinsoku/>
        <w:wordWrap/>
        <w:overflowPunct/>
        <w:topLinePunct w:val="0"/>
        <w:autoSpaceDE/>
        <w:bidi w:val="0"/>
        <w:adjustRightInd w:val="0"/>
        <w:snapToGrid w:val="0"/>
        <w:spacing w:line="240" w:lineRule="auto"/>
        <w:ind w:firstLine="420" w:firstLineChars="200"/>
        <w:textAlignment w:val="auto"/>
        <w:rPr>
          <w:rFonts w:hAnsi="宋体"/>
          <w:color w:val="auto"/>
          <w:highlight w:val="none"/>
        </w:rPr>
      </w:pPr>
      <w:r>
        <w:rPr>
          <w:rFonts w:hint="eastAsia" w:hAnsi="宋体"/>
          <w:color w:val="auto"/>
          <w:highlight w:val="none"/>
        </w:rPr>
        <w:t>（1）关于采购文件的质疑，应从购买采购文件之日起三日内提出。</w:t>
      </w:r>
    </w:p>
    <w:p w14:paraId="1A8CEAB2">
      <w:pPr>
        <w:pStyle w:val="13"/>
        <w:keepNext w:val="0"/>
        <w:keepLines w:val="0"/>
        <w:pageBreakBefore w:val="0"/>
        <w:kinsoku/>
        <w:wordWrap/>
        <w:overflowPunct/>
        <w:topLinePunct w:val="0"/>
        <w:autoSpaceDE/>
        <w:bidi w:val="0"/>
        <w:adjustRightInd w:val="0"/>
        <w:snapToGrid w:val="0"/>
        <w:spacing w:line="240" w:lineRule="auto"/>
        <w:ind w:firstLine="420" w:firstLineChars="200"/>
        <w:textAlignment w:val="auto"/>
        <w:rPr>
          <w:rFonts w:hAnsi="宋体"/>
          <w:color w:val="auto"/>
          <w:highlight w:val="none"/>
        </w:rPr>
      </w:pPr>
      <w:r>
        <w:rPr>
          <w:rFonts w:hint="eastAsia" w:hAnsi="宋体"/>
          <w:color w:val="auto"/>
          <w:highlight w:val="none"/>
        </w:rPr>
        <w:t>（2）关于采购过程的质疑，应在采购程序环节结束之日起三日内提出。</w:t>
      </w:r>
    </w:p>
    <w:p w14:paraId="738E4F6C">
      <w:pPr>
        <w:pStyle w:val="13"/>
        <w:keepNext w:val="0"/>
        <w:keepLines w:val="0"/>
        <w:pageBreakBefore w:val="0"/>
        <w:kinsoku/>
        <w:wordWrap/>
        <w:overflowPunct/>
        <w:topLinePunct w:val="0"/>
        <w:autoSpaceDE/>
        <w:bidi w:val="0"/>
        <w:adjustRightInd w:val="0"/>
        <w:snapToGrid w:val="0"/>
        <w:spacing w:line="240" w:lineRule="auto"/>
        <w:ind w:firstLine="420" w:firstLineChars="200"/>
        <w:textAlignment w:val="auto"/>
        <w:rPr>
          <w:rFonts w:hAnsi="宋体"/>
          <w:color w:val="auto"/>
          <w:highlight w:val="none"/>
        </w:rPr>
      </w:pPr>
      <w:r>
        <w:rPr>
          <w:rFonts w:hint="eastAsia" w:hAnsi="宋体"/>
          <w:color w:val="auto"/>
          <w:highlight w:val="none"/>
        </w:rPr>
        <w:t>（3）</w:t>
      </w:r>
      <w:r>
        <w:rPr>
          <w:rFonts w:hint="eastAsia" w:ascii="宋体" w:hAnsi="宋体" w:cs="Courier New"/>
          <w:color w:val="auto"/>
          <w:highlight w:val="none"/>
          <w:lang w:val="en-US" w:eastAsia="zh-CN"/>
        </w:rPr>
        <w:t>关于成交</w:t>
      </w:r>
      <w:r>
        <w:rPr>
          <w:rFonts w:hint="eastAsia" w:hAnsi="宋体" w:cs="Courier New"/>
          <w:color w:val="auto"/>
          <w:highlight w:val="none"/>
          <w:lang w:val="en-US" w:eastAsia="zh-CN"/>
        </w:rPr>
        <w:t>信息</w:t>
      </w:r>
      <w:r>
        <w:rPr>
          <w:rFonts w:hint="eastAsia" w:ascii="宋体" w:hAnsi="宋体" w:cs="Courier New"/>
          <w:color w:val="auto"/>
          <w:highlight w:val="none"/>
          <w:lang w:val="en-US" w:eastAsia="zh-CN"/>
        </w:rPr>
        <w:t>的质疑，应在</w:t>
      </w:r>
      <w:r>
        <w:rPr>
          <w:rFonts w:hint="eastAsia" w:hAnsi="宋体" w:cs="Courier New"/>
          <w:color w:val="auto"/>
          <w:highlight w:val="none"/>
          <w:lang w:val="en-US" w:eastAsia="zh-CN"/>
        </w:rPr>
        <w:t>公示期</w:t>
      </w:r>
      <w:r>
        <w:rPr>
          <w:rFonts w:hint="eastAsia" w:ascii="宋体" w:hAnsi="宋体" w:cs="Courier New"/>
          <w:color w:val="auto"/>
          <w:highlight w:val="none"/>
          <w:lang w:val="en-US" w:eastAsia="zh-CN"/>
        </w:rPr>
        <w:t>提出</w:t>
      </w:r>
      <w:r>
        <w:rPr>
          <w:rFonts w:hint="eastAsia" w:hAnsi="宋体"/>
          <w:color w:val="auto"/>
          <w:highlight w:val="none"/>
        </w:rPr>
        <w:t>。</w:t>
      </w:r>
    </w:p>
    <w:p w14:paraId="36F64A0E">
      <w:pPr>
        <w:pStyle w:val="13"/>
        <w:keepNext w:val="0"/>
        <w:keepLines w:val="0"/>
        <w:pageBreakBefore w:val="0"/>
        <w:kinsoku/>
        <w:wordWrap/>
        <w:overflowPunct/>
        <w:topLinePunct w:val="0"/>
        <w:autoSpaceDE/>
        <w:bidi w:val="0"/>
        <w:adjustRightInd w:val="0"/>
        <w:snapToGrid w:val="0"/>
        <w:spacing w:line="240" w:lineRule="auto"/>
        <w:ind w:firstLine="420" w:firstLineChars="200"/>
        <w:textAlignment w:val="auto"/>
        <w:rPr>
          <w:rFonts w:hAnsi="宋体"/>
          <w:color w:val="auto"/>
          <w:highlight w:val="none"/>
        </w:rPr>
      </w:pPr>
      <w:r>
        <w:rPr>
          <w:rFonts w:hint="eastAsia" w:hAnsi="宋体"/>
          <w:color w:val="auto"/>
          <w:highlight w:val="none"/>
        </w:rPr>
        <w:t>2</w:t>
      </w:r>
      <w:r>
        <w:rPr>
          <w:rFonts w:hint="eastAsia" w:hAnsi="宋体"/>
          <w:color w:val="auto"/>
          <w:highlight w:val="none"/>
          <w:lang w:val="en-US" w:eastAsia="zh-CN"/>
        </w:rPr>
        <w:t>5</w:t>
      </w:r>
      <w:r>
        <w:rPr>
          <w:rFonts w:hint="eastAsia" w:hAnsi="宋体"/>
          <w:color w:val="auto"/>
          <w:highlight w:val="none"/>
        </w:rPr>
        <w:t>.3供应商提出质疑的，应提供质疑书原件。采购人或应当向质疑供应商签收回</w:t>
      </w:r>
      <w:r>
        <w:rPr>
          <w:rFonts w:hint="eastAsia" w:ascii="宋体" w:hAnsi="宋体" w:eastAsia="宋体"/>
          <w:color w:val="auto"/>
          <w:highlight w:val="none"/>
        </w:rPr>
        <w:t>执。</w:t>
      </w:r>
      <w:r>
        <w:rPr>
          <w:rFonts w:hint="eastAsia" w:ascii="宋体" w:hAnsi="宋体" w:eastAsia="宋体"/>
          <w:color w:val="auto"/>
          <w:highlight w:val="none"/>
          <w:lang w:val="en-US" w:eastAsia="zh-CN"/>
        </w:rPr>
        <w:t>供应商须在质疑期内一次性提出针对同一采购程序环节的质疑，否则采购人或有权拒绝接受其针对同一采购程序环节后续提出的质疑。</w:t>
      </w:r>
      <w:r>
        <w:rPr>
          <w:rFonts w:hint="eastAsia" w:ascii="宋体" w:hAnsi="宋体" w:eastAsia="宋体"/>
          <w:color w:val="auto"/>
          <w:highlight w:val="none"/>
        </w:rPr>
        <w:t>供应商在质疑期限外提出的质疑，采购人或有权拒绝接受。</w:t>
      </w:r>
    </w:p>
    <w:p w14:paraId="076CB8EB">
      <w:pPr>
        <w:pStyle w:val="13"/>
        <w:keepNext w:val="0"/>
        <w:keepLines w:val="0"/>
        <w:pageBreakBefore w:val="0"/>
        <w:kinsoku/>
        <w:wordWrap/>
        <w:overflowPunct/>
        <w:topLinePunct w:val="0"/>
        <w:autoSpaceDE/>
        <w:bidi w:val="0"/>
        <w:adjustRightInd w:val="0"/>
        <w:snapToGrid w:val="0"/>
        <w:spacing w:line="240" w:lineRule="auto"/>
        <w:ind w:firstLine="420" w:firstLineChars="200"/>
        <w:textAlignment w:val="auto"/>
        <w:rPr>
          <w:rFonts w:hAnsi="宋体"/>
          <w:color w:val="auto"/>
          <w:highlight w:val="none"/>
        </w:rPr>
      </w:pPr>
      <w:r>
        <w:rPr>
          <w:rFonts w:hint="eastAsia" w:hAnsi="宋体"/>
          <w:color w:val="auto"/>
          <w:highlight w:val="none"/>
        </w:rPr>
        <w:t>2</w:t>
      </w:r>
      <w:r>
        <w:rPr>
          <w:rFonts w:hint="eastAsia" w:hAnsi="宋体"/>
          <w:color w:val="auto"/>
          <w:highlight w:val="none"/>
          <w:lang w:val="en-US" w:eastAsia="zh-CN"/>
        </w:rPr>
        <w:t>5</w:t>
      </w:r>
      <w:r>
        <w:rPr>
          <w:rFonts w:hint="eastAsia" w:hAnsi="宋体"/>
          <w:color w:val="auto"/>
          <w:highlight w:val="none"/>
        </w:rPr>
        <w:t>.4 质疑书应当包括下列内容：</w:t>
      </w:r>
    </w:p>
    <w:p w14:paraId="4D782BBA">
      <w:pPr>
        <w:pStyle w:val="13"/>
        <w:keepNext w:val="0"/>
        <w:keepLines w:val="0"/>
        <w:pageBreakBefore w:val="0"/>
        <w:kinsoku/>
        <w:wordWrap/>
        <w:overflowPunct/>
        <w:topLinePunct w:val="0"/>
        <w:autoSpaceDE/>
        <w:bidi w:val="0"/>
        <w:adjustRightInd w:val="0"/>
        <w:snapToGrid w:val="0"/>
        <w:spacing w:line="240" w:lineRule="auto"/>
        <w:ind w:firstLine="420" w:firstLineChars="200"/>
        <w:textAlignment w:val="auto"/>
        <w:rPr>
          <w:rFonts w:hAnsi="宋体"/>
          <w:color w:val="auto"/>
          <w:highlight w:val="none"/>
        </w:rPr>
      </w:pPr>
      <w:r>
        <w:rPr>
          <w:rFonts w:hint="eastAsia" w:hAnsi="宋体"/>
          <w:color w:val="auto"/>
          <w:highlight w:val="none"/>
        </w:rPr>
        <w:t>（1）质疑供应商的名称、地址及有效联系方式；</w:t>
      </w:r>
    </w:p>
    <w:p w14:paraId="09D3F908">
      <w:pPr>
        <w:pStyle w:val="13"/>
        <w:keepNext w:val="0"/>
        <w:keepLines w:val="0"/>
        <w:pageBreakBefore w:val="0"/>
        <w:kinsoku/>
        <w:wordWrap/>
        <w:overflowPunct/>
        <w:topLinePunct w:val="0"/>
        <w:autoSpaceDE/>
        <w:bidi w:val="0"/>
        <w:adjustRightInd w:val="0"/>
        <w:snapToGrid w:val="0"/>
        <w:spacing w:line="240" w:lineRule="auto"/>
        <w:ind w:firstLine="420" w:firstLineChars="200"/>
        <w:textAlignment w:val="auto"/>
        <w:rPr>
          <w:rFonts w:hAnsi="宋体"/>
          <w:color w:val="auto"/>
          <w:highlight w:val="none"/>
        </w:rPr>
      </w:pPr>
      <w:r>
        <w:rPr>
          <w:rFonts w:hint="eastAsia" w:hAnsi="宋体"/>
          <w:color w:val="auto"/>
          <w:highlight w:val="none"/>
        </w:rPr>
        <w:t>（2）质疑事项；</w:t>
      </w:r>
    </w:p>
    <w:p w14:paraId="689A749E">
      <w:pPr>
        <w:pStyle w:val="13"/>
        <w:keepNext w:val="0"/>
        <w:keepLines w:val="0"/>
        <w:pageBreakBefore w:val="0"/>
        <w:kinsoku/>
        <w:wordWrap/>
        <w:overflowPunct/>
        <w:topLinePunct w:val="0"/>
        <w:autoSpaceDE/>
        <w:bidi w:val="0"/>
        <w:adjustRightInd w:val="0"/>
        <w:snapToGrid w:val="0"/>
        <w:spacing w:line="240" w:lineRule="auto"/>
        <w:ind w:firstLine="420" w:firstLineChars="200"/>
        <w:textAlignment w:val="auto"/>
        <w:rPr>
          <w:rFonts w:hAnsi="宋体"/>
          <w:color w:val="auto"/>
          <w:highlight w:val="none"/>
        </w:rPr>
      </w:pPr>
      <w:r>
        <w:rPr>
          <w:rFonts w:hint="eastAsia" w:hAnsi="宋体"/>
          <w:color w:val="auto"/>
          <w:highlight w:val="none"/>
        </w:rPr>
        <w:t>（3）事实依据及相关证明材料；</w:t>
      </w:r>
    </w:p>
    <w:p w14:paraId="6E8EC868">
      <w:pPr>
        <w:pStyle w:val="13"/>
        <w:keepNext w:val="0"/>
        <w:keepLines w:val="0"/>
        <w:pageBreakBefore w:val="0"/>
        <w:kinsoku/>
        <w:wordWrap/>
        <w:overflowPunct/>
        <w:topLinePunct w:val="0"/>
        <w:autoSpaceDE/>
        <w:bidi w:val="0"/>
        <w:adjustRightInd w:val="0"/>
        <w:snapToGrid w:val="0"/>
        <w:spacing w:line="240" w:lineRule="auto"/>
        <w:ind w:firstLine="420" w:firstLineChars="200"/>
        <w:textAlignment w:val="auto"/>
        <w:rPr>
          <w:rFonts w:hAnsi="宋体"/>
          <w:color w:val="auto"/>
          <w:highlight w:val="none"/>
        </w:rPr>
      </w:pPr>
      <w:r>
        <w:rPr>
          <w:rFonts w:hint="eastAsia" w:hAnsi="宋体"/>
          <w:color w:val="auto"/>
          <w:highlight w:val="none"/>
        </w:rPr>
        <w:t>（4）相关请求及主张。</w:t>
      </w:r>
    </w:p>
    <w:p w14:paraId="57F4F2B3">
      <w:pPr>
        <w:pStyle w:val="13"/>
        <w:keepNext w:val="0"/>
        <w:keepLines w:val="0"/>
        <w:pageBreakBefore w:val="0"/>
        <w:kinsoku/>
        <w:wordWrap/>
        <w:overflowPunct/>
        <w:topLinePunct w:val="0"/>
        <w:autoSpaceDE/>
        <w:bidi w:val="0"/>
        <w:adjustRightInd w:val="0"/>
        <w:snapToGrid w:val="0"/>
        <w:spacing w:line="240" w:lineRule="auto"/>
        <w:ind w:firstLine="420" w:firstLineChars="200"/>
        <w:textAlignment w:val="auto"/>
        <w:rPr>
          <w:rFonts w:hAnsi="宋体"/>
          <w:color w:val="auto"/>
          <w:highlight w:val="none"/>
        </w:rPr>
      </w:pPr>
      <w:r>
        <w:rPr>
          <w:rFonts w:hint="eastAsia" w:hAnsi="宋体"/>
          <w:color w:val="auto"/>
          <w:highlight w:val="none"/>
        </w:rPr>
        <w:t>2</w:t>
      </w:r>
      <w:r>
        <w:rPr>
          <w:rFonts w:hint="eastAsia" w:hAnsi="宋体"/>
          <w:color w:val="auto"/>
          <w:highlight w:val="none"/>
          <w:lang w:val="en-US" w:eastAsia="zh-CN"/>
        </w:rPr>
        <w:t>5</w:t>
      </w:r>
      <w:r>
        <w:rPr>
          <w:rFonts w:hint="eastAsia" w:hAnsi="宋体"/>
          <w:color w:val="auto"/>
          <w:highlight w:val="none"/>
        </w:rPr>
        <w:t>.5 质疑书应当由供应商法定代表人或其授权的代理人签字并加盖供应商单位章，质疑书由授权的代理人签字的应附供应商法定代表人授权书。</w:t>
      </w:r>
    </w:p>
    <w:p w14:paraId="21E0703C">
      <w:pPr>
        <w:pStyle w:val="13"/>
        <w:keepNext w:val="0"/>
        <w:keepLines w:val="0"/>
        <w:pageBreakBefore w:val="0"/>
        <w:kinsoku/>
        <w:wordWrap/>
        <w:overflowPunct/>
        <w:topLinePunct w:val="0"/>
        <w:autoSpaceDE/>
        <w:bidi w:val="0"/>
        <w:adjustRightInd w:val="0"/>
        <w:snapToGrid w:val="0"/>
        <w:spacing w:line="240" w:lineRule="auto"/>
        <w:ind w:firstLine="420" w:firstLineChars="200"/>
        <w:textAlignment w:val="auto"/>
        <w:rPr>
          <w:rFonts w:hint="eastAsia" w:hAnsi="宋体"/>
          <w:color w:val="auto"/>
          <w:highlight w:val="none"/>
        </w:rPr>
      </w:pPr>
      <w:r>
        <w:rPr>
          <w:rFonts w:hint="eastAsia" w:hAnsi="宋体"/>
          <w:color w:val="auto"/>
          <w:highlight w:val="none"/>
        </w:rPr>
        <w:t>2</w:t>
      </w:r>
      <w:r>
        <w:rPr>
          <w:rFonts w:hint="eastAsia" w:hAnsi="宋体"/>
          <w:color w:val="auto"/>
          <w:highlight w:val="none"/>
          <w:lang w:val="en-US" w:eastAsia="zh-CN"/>
        </w:rPr>
        <w:t>5</w:t>
      </w:r>
      <w:r>
        <w:rPr>
          <w:rFonts w:hint="eastAsia" w:hAnsi="宋体"/>
          <w:color w:val="auto"/>
          <w:highlight w:val="none"/>
        </w:rPr>
        <w:t xml:space="preserve">.6 </w:t>
      </w:r>
      <w:r>
        <w:rPr>
          <w:rFonts w:hint="eastAsia" w:ascii="宋体" w:hAnsi="宋体" w:cs="Courier New"/>
          <w:color w:val="auto"/>
          <w:highlight w:val="none"/>
          <w:lang w:val="en-US" w:eastAsia="zh-CN"/>
        </w:rPr>
        <w:t>采购人或将在签收回执之日起</w:t>
      </w:r>
      <w:r>
        <w:rPr>
          <w:rFonts w:hint="eastAsia" w:hAnsi="宋体" w:cs="Courier New"/>
          <w:color w:val="auto"/>
          <w:highlight w:val="none"/>
          <w:lang w:val="en-US" w:eastAsia="zh-CN"/>
        </w:rPr>
        <w:t>三</w:t>
      </w:r>
      <w:r>
        <w:rPr>
          <w:rFonts w:hint="eastAsia" w:ascii="宋体" w:hAnsi="宋体" w:cs="Courier New"/>
          <w:color w:val="auto"/>
          <w:highlight w:val="none"/>
          <w:lang w:val="en-US" w:eastAsia="zh-CN"/>
        </w:rPr>
        <w:t>日内作出书面答复，</w:t>
      </w:r>
      <w:r>
        <w:rPr>
          <w:rFonts w:hint="eastAsia" w:hAnsi="宋体" w:cs="Courier New"/>
          <w:color w:val="auto"/>
          <w:highlight w:val="none"/>
          <w:lang w:val="en-US" w:eastAsia="zh-CN"/>
        </w:rPr>
        <w:t>质疑事项情况复杂、涉及面广、采购人不能在三日内作出答复的，可以适当延期，但不超过七日，且将告知质疑供应商并说明理由</w:t>
      </w:r>
      <w:r>
        <w:rPr>
          <w:rFonts w:hint="eastAsia" w:ascii="宋体" w:hAnsi="宋体" w:cs="Courier New"/>
          <w:color w:val="auto"/>
          <w:highlight w:val="none"/>
          <w:lang w:val="en-US" w:eastAsia="zh-CN"/>
        </w:rPr>
        <w:t>。</w:t>
      </w:r>
      <w:r>
        <w:rPr>
          <w:rFonts w:hint="eastAsia" w:hAnsi="宋体" w:cs="Courier New"/>
          <w:color w:val="auto"/>
          <w:highlight w:val="none"/>
          <w:lang w:val="en-US" w:eastAsia="zh-CN"/>
        </w:rPr>
        <w:t>作出实质性答复前，采购活动将被暂停</w:t>
      </w:r>
      <w:r>
        <w:rPr>
          <w:rFonts w:hint="eastAsia" w:hAnsi="宋体"/>
          <w:color w:val="auto"/>
          <w:highlight w:val="none"/>
        </w:rPr>
        <w:t>。</w:t>
      </w:r>
    </w:p>
    <w:p w14:paraId="6F9458CF">
      <w:pPr>
        <w:pStyle w:val="13"/>
        <w:keepNext w:val="0"/>
        <w:keepLines w:val="0"/>
        <w:pageBreakBefore w:val="0"/>
        <w:kinsoku/>
        <w:wordWrap/>
        <w:overflowPunct/>
        <w:topLinePunct w:val="0"/>
        <w:autoSpaceDE/>
        <w:bidi w:val="0"/>
        <w:adjustRightInd w:val="0"/>
        <w:snapToGrid w:val="0"/>
        <w:spacing w:line="240" w:lineRule="auto"/>
        <w:ind w:firstLine="420" w:firstLineChars="200"/>
        <w:textAlignment w:val="auto"/>
        <w:rPr>
          <w:rFonts w:hint="eastAsia" w:hAnsi="宋体"/>
          <w:color w:val="auto"/>
          <w:highlight w:val="none"/>
        </w:rPr>
      </w:pPr>
      <w:r>
        <w:rPr>
          <w:rFonts w:hint="eastAsia" w:ascii="宋体" w:hAnsi="宋体" w:cs="Courier New"/>
          <w:color w:val="auto"/>
          <w:highlight w:val="none"/>
          <w:lang w:val="en-US" w:eastAsia="zh-CN"/>
        </w:rPr>
        <w:t>2</w:t>
      </w:r>
      <w:r>
        <w:rPr>
          <w:rFonts w:hint="eastAsia" w:hAnsi="宋体" w:cs="Courier New"/>
          <w:color w:val="auto"/>
          <w:highlight w:val="none"/>
          <w:lang w:val="en-US" w:eastAsia="zh-CN"/>
        </w:rPr>
        <w:t>5</w:t>
      </w:r>
      <w:r>
        <w:rPr>
          <w:rFonts w:hint="eastAsia" w:ascii="宋体" w:hAnsi="宋体" w:cs="Courier New"/>
          <w:color w:val="auto"/>
          <w:highlight w:val="none"/>
          <w:lang w:val="en-US" w:eastAsia="zh-CN"/>
        </w:rPr>
        <w:t>.7</w:t>
      </w:r>
      <w:r>
        <w:rPr>
          <w:rFonts w:hint="eastAsia" w:hAnsi="宋体" w:cs="Courier New"/>
          <w:color w:val="auto"/>
          <w:highlight w:val="none"/>
          <w:lang w:val="en-US" w:eastAsia="zh-CN"/>
        </w:rPr>
        <w:t xml:space="preserve"> 质疑答复文件可以以电子邮件的方式发送给质疑人在购买采购文件时填报的指定邮箱。</w:t>
      </w:r>
    </w:p>
    <w:p w14:paraId="6B2D150C">
      <w:pPr>
        <w:pStyle w:val="13"/>
        <w:keepNext w:val="0"/>
        <w:keepLines w:val="0"/>
        <w:pageBreakBefore w:val="0"/>
        <w:kinsoku/>
        <w:wordWrap/>
        <w:overflowPunct/>
        <w:topLinePunct w:val="0"/>
        <w:autoSpaceDE/>
        <w:bidi w:val="0"/>
        <w:adjustRightInd w:val="0"/>
        <w:snapToGrid w:val="0"/>
        <w:spacing w:line="240" w:lineRule="auto"/>
        <w:ind w:firstLine="420" w:firstLineChars="200"/>
        <w:textAlignment w:val="auto"/>
        <w:rPr>
          <w:rFonts w:hAnsi="宋体"/>
          <w:color w:val="auto"/>
          <w:highlight w:val="none"/>
        </w:rPr>
      </w:pPr>
      <w:r>
        <w:rPr>
          <w:rFonts w:hint="eastAsia" w:hAnsi="宋体"/>
          <w:color w:val="auto"/>
          <w:highlight w:val="none"/>
        </w:rPr>
        <w:t>2</w:t>
      </w:r>
      <w:r>
        <w:rPr>
          <w:rFonts w:hint="eastAsia" w:hAnsi="宋体"/>
          <w:color w:val="auto"/>
          <w:highlight w:val="none"/>
          <w:lang w:val="en-US" w:eastAsia="zh-CN"/>
        </w:rPr>
        <w:t>5</w:t>
      </w:r>
      <w:r>
        <w:rPr>
          <w:rFonts w:hint="eastAsia" w:hAnsi="宋体"/>
          <w:color w:val="auto"/>
          <w:highlight w:val="none"/>
        </w:rPr>
        <w:t>.</w:t>
      </w:r>
      <w:r>
        <w:rPr>
          <w:rFonts w:hint="eastAsia" w:hAnsi="宋体"/>
          <w:color w:val="auto"/>
          <w:highlight w:val="none"/>
          <w:lang w:val="en-US" w:eastAsia="zh-CN"/>
        </w:rPr>
        <w:t>8</w:t>
      </w:r>
      <w:r>
        <w:rPr>
          <w:rFonts w:hint="eastAsia" w:hAnsi="宋体"/>
          <w:color w:val="auto"/>
          <w:highlight w:val="none"/>
        </w:rPr>
        <w:t xml:space="preserve"> 供应商对采购人或的答复不满意，或采购人或未在规定的期限作出答复的，可在答复期满后</w:t>
      </w:r>
      <w:r>
        <w:rPr>
          <w:rFonts w:hint="eastAsia" w:hAnsi="宋体"/>
          <w:color w:val="auto"/>
          <w:highlight w:val="none"/>
          <w:lang w:eastAsia="zh-CN"/>
        </w:rPr>
        <w:t>三</w:t>
      </w:r>
      <w:r>
        <w:rPr>
          <w:rFonts w:hint="eastAsia" w:hAnsi="宋体"/>
          <w:color w:val="auto"/>
          <w:highlight w:val="none"/>
        </w:rPr>
        <w:t>日内，向采购人纪检监察部门提出投诉。供应商未质疑而提出的投诉或在投诉期限外提出的投诉，采购人有权拒绝接受。</w:t>
      </w:r>
    </w:p>
    <w:p w14:paraId="733283A4">
      <w:pPr>
        <w:keepNext w:val="0"/>
        <w:keepLines w:val="0"/>
        <w:pageBreakBefore w:val="0"/>
        <w:kinsoku/>
        <w:wordWrap/>
        <w:overflowPunct/>
        <w:topLinePunct w:val="0"/>
        <w:autoSpaceDE/>
        <w:bidi w:val="0"/>
        <w:adjustRightInd w:val="0"/>
        <w:snapToGrid w:val="0"/>
        <w:spacing w:line="240" w:lineRule="auto"/>
        <w:textAlignment w:val="auto"/>
        <w:rPr>
          <w:rFonts w:ascii="宋体" w:hAnsi="宋体"/>
          <w:b/>
          <w:bCs/>
          <w:color w:val="auto"/>
          <w:szCs w:val="21"/>
          <w:highlight w:val="none"/>
        </w:rPr>
      </w:pPr>
      <w:r>
        <w:rPr>
          <w:rFonts w:hint="eastAsia" w:ascii="宋体" w:hAnsi="宋体"/>
          <w:b/>
          <w:bCs/>
          <w:color w:val="auto"/>
          <w:szCs w:val="21"/>
          <w:highlight w:val="none"/>
        </w:rPr>
        <w:t>2</w:t>
      </w:r>
      <w:r>
        <w:rPr>
          <w:rFonts w:hint="eastAsia" w:ascii="宋体" w:hAnsi="宋体"/>
          <w:b/>
          <w:bCs/>
          <w:color w:val="auto"/>
          <w:szCs w:val="21"/>
          <w:highlight w:val="none"/>
          <w:lang w:val="en-US" w:eastAsia="zh-CN"/>
        </w:rPr>
        <w:t>6</w:t>
      </w:r>
      <w:r>
        <w:rPr>
          <w:rFonts w:hint="eastAsia" w:ascii="宋体" w:hAnsi="宋体"/>
          <w:b/>
          <w:bCs/>
          <w:color w:val="auto"/>
          <w:szCs w:val="21"/>
          <w:highlight w:val="none"/>
        </w:rPr>
        <w:t>.成交结果确认和成交通知</w:t>
      </w:r>
    </w:p>
    <w:p w14:paraId="0158CF61">
      <w:pPr>
        <w:pStyle w:val="13"/>
        <w:keepNext w:val="0"/>
        <w:keepLines w:val="0"/>
        <w:pageBreakBefore w:val="0"/>
        <w:kinsoku/>
        <w:wordWrap/>
        <w:overflowPunct/>
        <w:topLinePunct w:val="0"/>
        <w:autoSpaceDE/>
        <w:bidi w:val="0"/>
        <w:adjustRightInd w:val="0"/>
        <w:snapToGrid w:val="0"/>
        <w:spacing w:line="240" w:lineRule="auto"/>
        <w:ind w:firstLine="420" w:firstLineChars="200"/>
        <w:textAlignment w:val="auto"/>
        <w:rPr>
          <w:rFonts w:hAnsi="宋体"/>
          <w:color w:val="auto"/>
          <w:highlight w:val="none"/>
        </w:rPr>
      </w:pPr>
      <w:r>
        <w:rPr>
          <w:rFonts w:hint="eastAsia" w:hAnsi="宋体"/>
          <w:color w:val="auto"/>
          <w:highlight w:val="none"/>
        </w:rPr>
        <w:t>2</w:t>
      </w:r>
      <w:r>
        <w:rPr>
          <w:rFonts w:hint="eastAsia" w:hAnsi="宋体"/>
          <w:color w:val="auto"/>
          <w:highlight w:val="none"/>
          <w:lang w:val="en-US" w:eastAsia="zh-CN"/>
        </w:rPr>
        <w:t>6</w:t>
      </w:r>
      <w:r>
        <w:rPr>
          <w:rFonts w:hint="eastAsia" w:hAnsi="宋体"/>
          <w:color w:val="auto"/>
          <w:highlight w:val="none"/>
        </w:rPr>
        <w:t>.1</w:t>
      </w:r>
      <w:r>
        <w:rPr>
          <w:rFonts w:hint="eastAsia" w:hAnsi="宋体"/>
          <w:color w:val="auto"/>
          <w:highlight w:val="none"/>
          <w:lang w:val="en-US" w:eastAsia="zh-CN"/>
        </w:rPr>
        <w:t>采购人应当在本章第16.1款规定的响应文件有效期内，且在成交候选人公示期满之日起十个工作日内按评审小组提交的评审报告推荐的排序确定成交供应商，并以书面形式向成交供应商发出成交通知书。</w:t>
      </w:r>
      <w:r>
        <w:rPr>
          <w:rFonts w:hint="eastAsia" w:hAnsi="宋体"/>
          <w:color w:val="auto"/>
          <w:highlight w:val="none"/>
        </w:rPr>
        <w:t>成交通知书对采购人和成交供应商具有同等法律效力。</w:t>
      </w:r>
    </w:p>
    <w:p w14:paraId="1BE31AA2">
      <w:pPr>
        <w:pStyle w:val="13"/>
        <w:keepNext w:val="0"/>
        <w:keepLines w:val="0"/>
        <w:pageBreakBefore w:val="0"/>
        <w:kinsoku/>
        <w:wordWrap/>
        <w:overflowPunct/>
        <w:topLinePunct w:val="0"/>
        <w:autoSpaceDE/>
        <w:bidi w:val="0"/>
        <w:adjustRightInd w:val="0"/>
        <w:snapToGrid w:val="0"/>
        <w:spacing w:line="240" w:lineRule="auto"/>
        <w:ind w:firstLine="420" w:firstLineChars="200"/>
        <w:textAlignment w:val="auto"/>
        <w:rPr>
          <w:rFonts w:hAnsi="宋体"/>
          <w:color w:val="auto"/>
          <w:highlight w:val="none"/>
        </w:rPr>
      </w:pPr>
      <w:r>
        <w:rPr>
          <w:rFonts w:hint="eastAsia" w:hAnsi="宋体"/>
          <w:color w:val="auto"/>
          <w:highlight w:val="none"/>
        </w:rPr>
        <w:t>2</w:t>
      </w:r>
      <w:r>
        <w:rPr>
          <w:rFonts w:hint="eastAsia" w:hAnsi="宋体"/>
          <w:color w:val="auto"/>
          <w:highlight w:val="none"/>
          <w:lang w:val="en-US" w:eastAsia="zh-CN"/>
        </w:rPr>
        <w:t>6</w:t>
      </w:r>
      <w:r>
        <w:rPr>
          <w:rFonts w:hint="eastAsia" w:hAnsi="宋体"/>
          <w:color w:val="auto"/>
          <w:highlight w:val="none"/>
        </w:rPr>
        <w:t>.2 成交通知书是合同文件的组成部分。</w:t>
      </w:r>
    </w:p>
    <w:p w14:paraId="47113C0E">
      <w:pPr>
        <w:keepNext w:val="0"/>
        <w:keepLines w:val="0"/>
        <w:pageBreakBefore w:val="0"/>
        <w:tabs>
          <w:tab w:val="left" w:pos="7560"/>
          <w:tab w:val="left" w:pos="7740"/>
          <w:tab w:val="left" w:pos="7920"/>
        </w:tabs>
        <w:kinsoku/>
        <w:wordWrap/>
        <w:overflowPunct/>
        <w:topLinePunct w:val="0"/>
        <w:autoSpaceDE/>
        <w:autoSpaceDN w:val="0"/>
        <w:bidi w:val="0"/>
        <w:adjustRightInd w:val="0"/>
        <w:snapToGrid w:val="0"/>
        <w:spacing w:line="240" w:lineRule="auto"/>
        <w:ind w:firstLine="420" w:firstLineChars="200"/>
        <w:textAlignment w:val="auto"/>
        <w:rPr>
          <w:rFonts w:ascii="宋体" w:hAnsi="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 xml:space="preserve">.3 </w:t>
      </w:r>
      <w:r>
        <w:rPr>
          <w:rFonts w:hint="eastAsia" w:ascii="宋体" w:hAnsi="宋体"/>
          <w:color w:val="auto"/>
          <w:szCs w:val="21"/>
          <w:highlight w:val="none"/>
        </w:rPr>
        <w:t>成交供应商在收到的成交通知书后10日内，应按照</w:t>
      </w:r>
      <w:r>
        <w:rPr>
          <w:rFonts w:hint="eastAsia" w:ascii="宋体" w:hAnsi="宋体"/>
          <w:b/>
          <w:color w:val="auto"/>
          <w:szCs w:val="21"/>
          <w:highlight w:val="none"/>
        </w:rPr>
        <w:t>供应商须知前附表</w:t>
      </w:r>
      <w:r>
        <w:rPr>
          <w:rFonts w:hint="eastAsia" w:ascii="宋体" w:hAnsi="宋体"/>
          <w:color w:val="auto"/>
          <w:szCs w:val="21"/>
          <w:highlight w:val="none"/>
        </w:rPr>
        <w:t>的规定，向采购人提交履约担保。联合体成交的，履约担保由联合体各方或联合体中牵头人的名义提交。</w:t>
      </w:r>
    </w:p>
    <w:p w14:paraId="2B77E321">
      <w:pPr>
        <w:pStyle w:val="13"/>
        <w:keepNext w:val="0"/>
        <w:keepLines w:val="0"/>
        <w:pageBreakBefore w:val="0"/>
        <w:kinsoku/>
        <w:wordWrap/>
        <w:overflowPunct/>
        <w:topLinePunct w:val="0"/>
        <w:autoSpaceDE/>
        <w:bidi w:val="0"/>
        <w:adjustRightInd w:val="0"/>
        <w:snapToGrid w:val="0"/>
        <w:spacing w:line="240" w:lineRule="auto"/>
        <w:ind w:firstLine="420" w:firstLineChars="200"/>
        <w:textAlignment w:val="auto"/>
        <w:rPr>
          <w:rFonts w:hAnsi="宋体"/>
          <w:color w:val="auto"/>
          <w:highlight w:val="none"/>
        </w:rPr>
      </w:pPr>
      <w:r>
        <w:rPr>
          <w:rFonts w:hint="eastAsia" w:hAnsi="宋体"/>
          <w:color w:val="auto"/>
          <w:highlight w:val="none"/>
        </w:rPr>
        <w:t>2</w:t>
      </w:r>
      <w:r>
        <w:rPr>
          <w:rFonts w:hint="eastAsia" w:hAnsi="宋体"/>
          <w:color w:val="auto"/>
          <w:highlight w:val="none"/>
          <w:lang w:val="en-US" w:eastAsia="zh-CN"/>
        </w:rPr>
        <w:t>6</w:t>
      </w:r>
      <w:r>
        <w:rPr>
          <w:rFonts w:hint="eastAsia" w:hAnsi="宋体"/>
          <w:color w:val="auto"/>
          <w:highlight w:val="none"/>
        </w:rPr>
        <w:t>.4 成交供应商</w:t>
      </w:r>
      <w:r>
        <w:rPr>
          <w:rFonts w:hint="eastAsia" w:hAnsi="宋体"/>
          <w:color w:val="auto"/>
          <w:spacing w:val="4"/>
          <w:highlight w:val="none"/>
        </w:rPr>
        <w:t>没有按照本章第</w:t>
      </w:r>
      <w:r>
        <w:rPr>
          <w:rFonts w:hint="eastAsia" w:hAnsi="宋体"/>
          <w:color w:val="auto"/>
          <w:spacing w:val="4"/>
          <w:highlight w:val="none"/>
          <w:lang w:val="en-US" w:eastAsia="zh-CN"/>
        </w:rPr>
        <w:t>26</w:t>
      </w:r>
      <w:r>
        <w:rPr>
          <w:rFonts w:hint="eastAsia" w:hAnsi="宋体"/>
          <w:color w:val="auto"/>
          <w:spacing w:val="4"/>
          <w:highlight w:val="none"/>
        </w:rPr>
        <w:t>.3</w:t>
      </w:r>
      <w:r>
        <w:rPr>
          <w:rFonts w:hint="eastAsia" w:hAnsi="宋体" w:cs="宋体"/>
          <w:color w:val="auto"/>
          <w:kern w:val="0"/>
          <w:highlight w:val="none"/>
          <w:lang w:val="zh-CN"/>
        </w:rPr>
        <w:t>款</w:t>
      </w:r>
      <w:r>
        <w:rPr>
          <w:rFonts w:hint="eastAsia" w:hAnsi="宋体"/>
          <w:color w:val="auto"/>
          <w:spacing w:val="4"/>
          <w:highlight w:val="none"/>
        </w:rPr>
        <w:t>规定</w:t>
      </w:r>
      <w:r>
        <w:rPr>
          <w:rFonts w:hint="eastAsia" w:hAnsi="宋体"/>
          <w:color w:val="auto"/>
          <w:highlight w:val="none"/>
        </w:rPr>
        <w:t>提交履约担保的</w:t>
      </w:r>
      <w:r>
        <w:rPr>
          <w:rFonts w:hint="eastAsia" w:hAnsi="宋体"/>
          <w:color w:val="auto"/>
          <w:spacing w:val="4"/>
          <w:highlight w:val="none"/>
        </w:rPr>
        <w:t>，视为放弃</w:t>
      </w:r>
      <w:r>
        <w:rPr>
          <w:rFonts w:hint="eastAsia" w:hAnsi="宋体"/>
          <w:color w:val="auto"/>
          <w:highlight w:val="none"/>
        </w:rPr>
        <w:t>成交资格</w:t>
      </w:r>
      <w:r>
        <w:rPr>
          <w:rFonts w:hint="eastAsia" w:hAnsi="宋体"/>
          <w:color w:val="auto"/>
          <w:spacing w:val="4"/>
          <w:highlight w:val="none"/>
        </w:rPr>
        <w:t>，</w:t>
      </w:r>
      <w:r>
        <w:rPr>
          <w:rFonts w:hint="eastAsia" w:hAnsi="宋体"/>
          <w:color w:val="auto"/>
          <w:spacing w:val="2"/>
          <w:highlight w:val="none"/>
        </w:rPr>
        <w:t>其保证金不予退还。</w:t>
      </w:r>
    </w:p>
    <w:p w14:paraId="2D9EAB07">
      <w:pPr>
        <w:keepNext w:val="0"/>
        <w:keepLines w:val="0"/>
        <w:pageBreakBefore w:val="0"/>
        <w:kinsoku/>
        <w:wordWrap/>
        <w:overflowPunct/>
        <w:topLinePunct w:val="0"/>
        <w:autoSpaceDE/>
        <w:bidi w:val="0"/>
        <w:adjustRightInd w:val="0"/>
        <w:snapToGrid w:val="0"/>
        <w:spacing w:line="240" w:lineRule="auto"/>
        <w:textAlignment w:val="auto"/>
        <w:rPr>
          <w:rFonts w:ascii="宋体" w:hAnsi="宋体"/>
          <w:b/>
          <w:bCs/>
          <w:color w:val="auto"/>
          <w:szCs w:val="21"/>
          <w:highlight w:val="none"/>
        </w:rPr>
      </w:pPr>
      <w:r>
        <w:rPr>
          <w:rFonts w:hint="eastAsia" w:ascii="宋体" w:hAnsi="宋体"/>
          <w:b/>
          <w:bCs/>
          <w:color w:val="auto"/>
          <w:szCs w:val="21"/>
          <w:highlight w:val="none"/>
        </w:rPr>
        <w:t>2</w:t>
      </w:r>
      <w:r>
        <w:rPr>
          <w:rFonts w:hint="eastAsia" w:ascii="宋体" w:hAnsi="宋体"/>
          <w:b/>
          <w:bCs/>
          <w:color w:val="auto"/>
          <w:szCs w:val="21"/>
          <w:highlight w:val="none"/>
          <w:lang w:val="en-US" w:eastAsia="zh-CN"/>
        </w:rPr>
        <w:t>7</w:t>
      </w:r>
      <w:r>
        <w:rPr>
          <w:rFonts w:hint="eastAsia" w:ascii="宋体" w:hAnsi="宋体"/>
          <w:b/>
          <w:bCs/>
          <w:color w:val="auto"/>
          <w:szCs w:val="21"/>
          <w:highlight w:val="none"/>
        </w:rPr>
        <w:t>.签订合同</w:t>
      </w:r>
    </w:p>
    <w:p w14:paraId="2870B437">
      <w:pPr>
        <w:pStyle w:val="13"/>
        <w:keepNext w:val="0"/>
        <w:keepLines w:val="0"/>
        <w:pageBreakBefore w:val="0"/>
        <w:kinsoku/>
        <w:wordWrap/>
        <w:overflowPunct/>
        <w:topLinePunct w:val="0"/>
        <w:autoSpaceDE/>
        <w:bidi w:val="0"/>
        <w:adjustRightInd w:val="0"/>
        <w:snapToGrid w:val="0"/>
        <w:spacing w:line="240" w:lineRule="auto"/>
        <w:ind w:firstLine="420" w:firstLineChars="200"/>
        <w:textAlignment w:val="auto"/>
        <w:rPr>
          <w:rFonts w:hAnsi="宋体"/>
          <w:color w:val="auto"/>
          <w:highlight w:val="none"/>
        </w:rPr>
      </w:pPr>
      <w:r>
        <w:rPr>
          <w:rFonts w:hint="eastAsia" w:hAnsi="宋体"/>
          <w:color w:val="auto"/>
          <w:highlight w:val="none"/>
        </w:rPr>
        <w:t>2</w:t>
      </w:r>
      <w:r>
        <w:rPr>
          <w:rFonts w:hint="eastAsia" w:hAnsi="宋体"/>
          <w:color w:val="auto"/>
          <w:highlight w:val="none"/>
          <w:lang w:val="en-US" w:eastAsia="zh-CN"/>
        </w:rPr>
        <w:t>7</w:t>
      </w:r>
      <w:r>
        <w:rPr>
          <w:rFonts w:hint="eastAsia" w:hAnsi="宋体"/>
          <w:color w:val="auto"/>
          <w:highlight w:val="none"/>
        </w:rPr>
        <w:t>.1 采购文件、成交供应商的响应文件及其补充的响应文件等均为签订采购合同的依据。</w:t>
      </w:r>
    </w:p>
    <w:p w14:paraId="6E01ADA8">
      <w:pPr>
        <w:pStyle w:val="13"/>
        <w:keepNext w:val="0"/>
        <w:keepLines w:val="0"/>
        <w:pageBreakBefore w:val="0"/>
        <w:kinsoku/>
        <w:wordWrap/>
        <w:overflowPunct/>
        <w:topLinePunct w:val="0"/>
        <w:autoSpaceDE/>
        <w:bidi w:val="0"/>
        <w:adjustRightInd w:val="0"/>
        <w:snapToGrid w:val="0"/>
        <w:spacing w:line="240" w:lineRule="auto"/>
        <w:ind w:firstLine="420" w:firstLineChars="200"/>
        <w:textAlignment w:val="auto"/>
        <w:rPr>
          <w:rFonts w:hAnsi="宋体"/>
          <w:color w:val="auto"/>
          <w:highlight w:val="none"/>
        </w:rPr>
      </w:pPr>
      <w:r>
        <w:rPr>
          <w:rFonts w:hint="eastAsia" w:hAnsi="宋体"/>
          <w:color w:val="auto"/>
          <w:highlight w:val="none"/>
        </w:rPr>
        <w:t>2</w:t>
      </w:r>
      <w:r>
        <w:rPr>
          <w:rFonts w:hint="eastAsia" w:hAnsi="宋体"/>
          <w:color w:val="auto"/>
          <w:highlight w:val="none"/>
          <w:lang w:val="en-US" w:eastAsia="zh-CN"/>
        </w:rPr>
        <w:t>7</w:t>
      </w:r>
      <w:r>
        <w:rPr>
          <w:rFonts w:hint="eastAsia" w:hAnsi="宋体"/>
          <w:color w:val="auto"/>
          <w:highlight w:val="none"/>
        </w:rPr>
        <w:t>.2 成交供应商应当在成交通知书发出之日起</w:t>
      </w:r>
      <w:r>
        <w:rPr>
          <w:rFonts w:hint="eastAsia" w:hAnsi="宋体"/>
          <w:color w:val="auto"/>
          <w:highlight w:val="none"/>
          <w:lang w:val="en-US" w:eastAsia="zh-CN"/>
        </w:rPr>
        <w:t>15</w:t>
      </w:r>
      <w:r>
        <w:rPr>
          <w:rFonts w:hint="eastAsia" w:hAnsi="宋体"/>
          <w:color w:val="auto"/>
          <w:highlight w:val="none"/>
        </w:rPr>
        <w:t>日内与采购人签订采购合同。</w:t>
      </w:r>
    </w:p>
    <w:p w14:paraId="400A8010">
      <w:pPr>
        <w:pStyle w:val="13"/>
        <w:keepNext w:val="0"/>
        <w:keepLines w:val="0"/>
        <w:pageBreakBefore w:val="0"/>
        <w:kinsoku/>
        <w:wordWrap/>
        <w:overflowPunct/>
        <w:topLinePunct w:val="0"/>
        <w:autoSpaceDE/>
        <w:bidi w:val="0"/>
        <w:adjustRightInd w:val="0"/>
        <w:snapToGrid w:val="0"/>
        <w:spacing w:line="240" w:lineRule="auto"/>
        <w:ind w:firstLine="420" w:firstLineChars="200"/>
        <w:textAlignment w:val="auto"/>
        <w:rPr>
          <w:rFonts w:hAnsi="宋体"/>
          <w:color w:val="auto"/>
          <w:highlight w:val="none"/>
        </w:rPr>
      </w:pPr>
      <w:r>
        <w:rPr>
          <w:rFonts w:hint="eastAsia" w:hAnsi="宋体"/>
          <w:color w:val="auto"/>
          <w:highlight w:val="none"/>
        </w:rPr>
        <w:t>2</w:t>
      </w:r>
      <w:r>
        <w:rPr>
          <w:rFonts w:hint="eastAsia" w:hAnsi="宋体"/>
          <w:color w:val="auto"/>
          <w:highlight w:val="none"/>
          <w:lang w:val="en-US" w:eastAsia="zh-CN"/>
        </w:rPr>
        <w:t>7</w:t>
      </w:r>
      <w:r>
        <w:rPr>
          <w:rFonts w:hint="eastAsia" w:hAnsi="宋体"/>
          <w:color w:val="auto"/>
          <w:highlight w:val="none"/>
        </w:rPr>
        <w:t>.3 成交供应商应当按照合同约定履行义务。成交供应商不得向他人转让成交项目，也不得将成交项目分包后分别向他人转让。</w:t>
      </w:r>
    </w:p>
    <w:p w14:paraId="0118D309">
      <w:pPr>
        <w:pStyle w:val="13"/>
        <w:keepNext w:val="0"/>
        <w:keepLines w:val="0"/>
        <w:pageBreakBefore w:val="0"/>
        <w:kinsoku/>
        <w:wordWrap/>
        <w:overflowPunct/>
        <w:topLinePunct w:val="0"/>
        <w:autoSpaceDE/>
        <w:bidi w:val="0"/>
        <w:adjustRightInd w:val="0"/>
        <w:snapToGrid w:val="0"/>
        <w:spacing w:line="240" w:lineRule="auto"/>
        <w:ind w:firstLine="420" w:firstLineChars="200"/>
        <w:textAlignment w:val="auto"/>
        <w:rPr>
          <w:rFonts w:hAnsi="宋体"/>
          <w:color w:val="auto"/>
          <w:highlight w:val="none"/>
        </w:rPr>
      </w:pPr>
      <w:r>
        <w:rPr>
          <w:rFonts w:hint="eastAsia" w:hAnsi="宋体"/>
          <w:color w:val="auto"/>
          <w:highlight w:val="none"/>
        </w:rPr>
        <w:t>2</w:t>
      </w:r>
      <w:r>
        <w:rPr>
          <w:rFonts w:hint="eastAsia" w:hAnsi="宋体"/>
          <w:color w:val="auto"/>
          <w:highlight w:val="none"/>
          <w:lang w:val="en-US" w:eastAsia="zh-CN"/>
        </w:rPr>
        <w:t>7</w:t>
      </w:r>
      <w:r>
        <w:rPr>
          <w:rFonts w:hint="eastAsia" w:hAnsi="宋体"/>
          <w:color w:val="auto"/>
          <w:highlight w:val="none"/>
        </w:rPr>
        <w:t>.4 成交供应商有下列情形之一的，责令限期改正，情节严重的，列入不良行为记录名单，在1至3年内禁止参加采购人组织的采购活动，并予以通报：</w:t>
      </w:r>
    </w:p>
    <w:p w14:paraId="74A1D3B0">
      <w:pPr>
        <w:pStyle w:val="13"/>
        <w:keepNext w:val="0"/>
        <w:keepLines w:val="0"/>
        <w:pageBreakBefore w:val="0"/>
        <w:kinsoku/>
        <w:wordWrap/>
        <w:overflowPunct/>
        <w:topLinePunct w:val="0"/>
        <w:autoSpaceDE/>
        <w:bidi w:val="0"/>
        <w:adjustRightInd w:val="0"/>
        <w:snapToGrid w:val="0"/>
        <w:spacing w:line="240" w:lineRule="auto"/>
        <w:ind w:firstLine="420" w:firstLineChars="200"/>
        <w:textAlignment w:val="auto"/>
        <w:rPr>
          <w:rFonts w:hAnsi="宋体"/>
          <w:color w:val="auto"/>
          <w:highlight w:val="none"/>
        </w:rPr>
      </w:pPr>
      <w:r>
        <w:rPr>
          <w:rFonts w:hint="eastAsia" w:hAnsi="宋体"/>
          <w:color w:val="auto"/>
          <w:highlight w:val="none"/>
        </w:rPr>
        <w:t>（一）成交后无正当理由不与采购人签订合同的；</w:t>
      </w:r>
    </w:p>
    <w:p w14:paraId="23A0D995">
      <w:pPr>
        <w:pStyle w:val="13"/>
        <w:keepNext w:val="0"/>
        <w:keepLines w:val="0"/>
        <w:pageBreakBefore w:val="0"/>
        <w:kinsoku/>
        <w:wordWrap/>
        <w:overflowPunct/>
        <w:topLinePunct w:val="0"/>
        <w:autoSpaceDE/>
        <w:bidi w:val="0"/>
        <w:adjustRightInd w:val="0"/>
        <w:snapToGrid w:val="0"/>
        <w:spacing w:line="240" w:lineRule="auto"/>
        <w:ind w:firstLine="420" w:firstLineChars="200"/>
        <w:textAlignment w:val="auto"/>
        <w:rPr>
          <w:rFonts w:hAnsi="宋体"/>
          <w:color w:val="auto"/>
          <w:highlight w:val="none"/>
        </w:rPr>
      </w:pPr>
      <w:r>
        <w:rPr>
          <w:rFonts w:hint="eastAsia" w:hAnsi="宋体"/>
          <w:color w:val="auto"/>
          <w:highlight w:val="none"/>
        </w:rPr>
        <w:t>（二）未按照采购文件确定的事项签订采购合同；</w:t>
      </w:r>
    </w:p>
    <w:p w14:paraId="6B9B643C">
      <w:pPr>
        <w:pStyle w:val="13"/>
        <w:keepNext w:val="0"/>
        <w:keepLines w:val="0"/>
        <w:pageBreakBefore w:val="0"/>
        <w:kinsoku/>
        <w:wordWrap/>
        <w:overflowPunct/>
        <w:topLinePunct w:val="0"/>
        <w:autoSpaceDE/>
        <w:bidi w:val="0"/>
        <w:adjustRightInd w:val="0"/>
        <w:snapToGrid w:val="0"/>
        <w:spacing w:line="240" w:lineRule="auto"/>
        <w:ind w:firstLine="420" w:firstLineChars="200"/>
        <w:textAlignment w:val="auto"/>
        <w:rPr>
          <w:rFonts w:hint="eastAsia" w:hAnsi="宋体" w:cs="宋体"/>
          <w:color w:val="auto"/>
          <w:kern w:val="0"/>
          <w:highlight w:val="none"/>
        </w:rPr>
      </w:pPr>
      <w:r>
        <w:rPr>
          <w:rFonts w:hint="eastAsia" w:hAnsi="宋体"/>
          <w:color w:val="auto"/>
          <w:highlight w:val="none"/>
        </w:rPr>
        <w:t>（三）拒绝履行合同义务的</w:t>
      </w:r>
      <w:r>
        <w:rPr>
          <w:rFonts w:hint="eastAsia" w:hAnsi="宋体" w:cs="宋体"/>
          <w:color w:val="auto"/>
          <w:kern w:val="0"/>
          <w:highlight w:val="none"/>
        </w:rPr>
        <w:t>。</w:t>
      </w:r>
    </w:p>
    <w:p w14:paraId="32C8872A">
      <w:pPr>
        <w:pStyle w:val="13"/>
        <w:keepNext w:val="0"/>
        <w:keepLines w:val="0"/>
        <w:pageBreakBefore w:val="0"/>
        <w:kinsoku/>
        <w:wordWrap/>
        <w:overflowPunct/>
        <w:topLinePunct w:val="0"/>
        <w:autoSpaceDE/>
        <w:bidi w:val="0"/>
        <w:adjustRightInd w:val="0"/>
        <w:snapToGrid w:val="0"/>
        <w:spacing w:line="240" w:lineRule="auto"/>
        <w:ind w:firstLine="420" w:firstLineChars="200"/>
        <w:textAlignment w:val="auto"/>
        <w:rPr>
          <w:rFonts w:hint="eastAsia" w:hAnsi="宋体" w:cs="宋体"/>
          <w:color w:val="auto"/>
          <w:kern w:val="0"/>
          <w:highlight w:val="none"/>
        </w:rPr>
      </w:pPr>
      <w:r>
        <w:rPr>
          <w:rFonts w:hint="eastAsia" w:hAnsi="宋体"/>
          <w:color w:val="auto"/>
          <w:highlight w:val="none"/>
          <w:lang w:val="en-US" w:eastAsia="zh-CN"/>
        </w:rPr>
        <w:t>27.5联合体中标的，联合体各方应当共同与招标人签订合同，就中标项目向招标人承担连带责任。</w:t>
      </w:r>
    </w:p>
    <w:p w14:paraId="559935F1">
      <w:pPr>
        <w:keepNext w:val="0"/>
        <w:keepLines w:val="0"/>
        <w:pageBreakBefore w:val="0"/>
        <w:kinsoku/>
        <w:wordWrap/>
        <w:overflowPunct/>
        <w:topLinePunct w:val="0"/>
        <w:autoSpaceDE/>
        <w:bidi w:val="0"/>
        <w:adjustRightInd w:val="0"/>
        <w:snapToGrid w:val="0"/>
        <w:spacing w:line="240" w:lineRule="auto"/>
        <w:textAlignment w:val="auto"/>
        <w:rPr>
          <w:rFonts w:ascii="黑体" w:hAnsi="宋体" w:eastAsia="黑体"/>
          <w:color w:val="auto"/>
          <w:sz w:val="24"/>
          <w:highlight w:val="none"/>
        </w:rPr>
      </w:pPr>
      <w:r>
        <w:rPr>
          <w:rFonts w:hint="eastAsia" w:ascii="黑体" w:hAnsi="宋体" w:eastAsia="黑体"/>
          <w:color w:val="auto"/>
          <w:sz w:val="24"/>
          <w:highlight w:val="none"/>
        </w:rPr>
        <w:t>七、其他规定</w:t>
      </w:r>
    </w:p>
    <w:p w14:paraId="3A71A58C">
      <w:pPr>
        <w:keepNext w:val="0"/>
        <w:keepLines w:val="0"/>
        <w:pageBreakBefore w:val="0"/>
        <w:tabs>
          <w:tab w:val="left" w:pos="420"/>
          <w:tab w:val="left" w:pos="7560"/>
          <w:tab w:val="left" w:pos="7740"/>
          <w:tab w:val="left" w:pos="7920"/>
        </w:tabs>
        <w:kinsoku/>
        <w:wordWrap/>
        <w:overflowPunct/>
        <w:topLinePunct w:val="0"/>
        <w:autoSpaceDE/>
        <w:bidi w:val="0"/>
        <w:adjustRightInd w:val="0"/>
        <w:snapToGrid w:val="0"/>
        <w:spacing w:line="240" w:lineRule="auto"/>
        <w:textAlignment w:val="auto"/>
        <w:rPr>
          <w:rFonts w:hAnsi="宋体"/>
          <w:b/>
          <w:color w:val="auto"/>
          <w:highlight w:val="none"/>
        </w:rPr>
      </w:pPr>
      <w:r>
        <w:rPr>
          <w:rFonts w:hint="eastAsia" w:hAnsi="宋体"/>
          <w:b/>
          <w:color w:val="auto"/>
          <w:highlight w:val="none"/>
        </w:rPr>
        <w:t>2</w:t>
      </w:r>
      <w:r>
        <w:rPr>
          <w:rFonts w:hint="eastAsia" w:hAnsi="宋体"/>
          <w:b/>
          <w:color w:val="auto"/>
          <w:highlight w:val="none"/>
          <w:lang w:val="en-US" w:eastAsia="zh-CN"/>
        </w:rPr>
        <w:t>9</w:t>
      </w:r>
      <w:r>
        <w:rPr>
          <w:rFonts w:hint="eastAsia" w:hAnsi="宋体"/>
          <w:b/>
          <w:color w:val="auto"/>
          <w:highlight w:val="none"/>
        </w:rPr>
        <w:t>.其他规定</w:t>
      </w:r>
    </w:p>
    <w:p w14:paraId="0C4DFC32">
      <w:pPr>
        <w:pStyle w:val="7"/>
        <w:keepNext w:val="0"/>
        <w:keepLines w:val="0"/>
        <w:pageBreakBefore w:val="0"/>
        <w:kinsoku/>
        <w:wordWrap/>
        <w:overflowPunct/>
        <w:topLinePunct w:val="0"/>
        <w:autoSpaceDE/>
        <w:bidi w:val="0"/>
        <w:spacing w:line="240" w:lineRule="auto"/>
        <w:textAlignment w:val="auto"/>
        <w:rPr>
          <w:rFonts w:hint="eastAsia" w:ascii="宋体" w:hAnsi="宋体"/>
          <w:color w:val="auto"/>
          <w:szCs w:val="21"/>
          <w:highlight w:val="none"/>
        </w:rPr>
        <w:sectPr>
          <w:pgSz w:w="11906" w:h="16838"/>
          <w:pgMar w:top="1417" w:right="1417" w:bottom="1417" w:left="1417" w:header="851" w:footer="567"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hint="eastAsia" w:ascii="宋体" w:hAnsi="宋体"/>
          <w:color w:val="auto"/>
          <w:highlight w:val="none"/>
          <w:lang w:val="en-US" w:eastAsia="zh-CN"/>
        </w:rPr>
        <w:t>29</w:t>
      </w:r>
      <w:r>
        <w:rPr>
          <w:rFonts w:hint="eastAsia" w:ascii="宋体" w:hAnsi="宋体"/>
          <w:color w:val="auto"/>
          <w:highlight w:val="none"/>
        </w:rPr>
        <w:t>.1</w:t>
      </w:r>
      <w:r>
        <w:rPr>
          <w:rFonts w:hint="eastAsia" w:ascii="宋体" w:hAnsi="宋体"/>
          <w:color w:val="auto"/>
          <w:szCs w:val="21"/>
          <w:highlight w:val="none"/>
        </w:rPr>
        <w:t>采购文件</w:t>
      </w:r>
      <w:r>
        <w:rPr>
          <w:rFonts w:hint="eastAsia" w:hAnsi="宋体"/>
          <w:color w:val="auto"/>
          <w:highlight w:val="none"/>
        </w:rPr>
        <w:t>的其他规定</w:t>
      </w:r>
      <w:r>
        <w:rPr>
          <w:rFonts w:hint="eastAsia" w:ascii="宋体" w:hAnsi="宋体"/>
          <w:color w:val="auto"/>
          <w:szCs w:val="21"/>
          <w:highlight w:val="none"/>
        </w:rPr>
        <w:t>见</w:t>
      </w:r>
      <w:r>
        <w:rPr>
          <w:rFonts w:hint="eastAsia" w:ascii="宋体" w:hAnsi="宋体"/>
          <w:b/>
          <w:color w:val="auto"/>
          <w:szCs w:val="21"/>
          <w:highlight w:val="none"/>
        </w:rPr>
        <w:t>供应商须知前附表</w:t>
      </w:r>
      <w:r>
        <w:rPr>
          <w:rFonts w:hint="eastAsia" w:ascii="宋体" w:hAnsi="宋体"/>
          <w:color w:val="auto"/>
          <w:szCs w:val="21"/>
          <w:highlight w:val="none"/>
        </w:rPr>
        <w:t>。</w:t>
      </w:r>
    </w:p>
    <w:p w14:paraId="578345D5">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第三章  评审办法</w:t>
      </w:r>
    </w:p>
    <w:p w14:paraId="73867936">
      <w:pPr>
        <w:pStyle w:val="7"/>
        <w:ind w:left="0" w:leftChars="0" w:firstLine="0" w:firstLineChars="0"/>
        <w:jc w:val="center"/>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评审办法前附表</w:t>
      </w:r>
    </w:p>
    <w:tbl>
      <w:tblPr>
        <w:tblStyle w:val="20"/>
        <w:tblW w:w="912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1900"/>
        <w:gridCol w:w="5394"/>
      </w:tblGrid>
      <w:tr w14:paraId="2D2E75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67" w:hRule="atLeast"/>
        </w:trPr>
        <w:tc>
          <w:tcPr>
            <w:tcW w:w="1826" w:type="dxa"/>
            <w:tcBorders>
              <w:tl2br w:val="nil"/>
              <w:tr2bl w:val="nil"/>
            </w:tcBorders>
            <w:vAlign w:val="center"/>
          </w:tcPr>
          <w:p w14:paraId="4C3CA0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olor w:val="auto"/>
                <w:szCs w:val="21"/>
                <w:highlight w:val="none"/>
              </w:rPr>
            </w:pPr>
            <w:r>
              <w:rPr>
                <w:rFonts w:hint="eastAsia" w:ascii="宋体" w:hAnsi="宋体"/>
                <w:b/>
                <w:color w:val="auto"/>
                <w:szCs w:val="21"/>
                <w:highlight w:val="none"/>
              </w:rPr>
              <w:t>条款号</w:t>
            </w:r>
          </w:p>
        </w:tc>
        <w:tc>
          <w:tcPr>
            <w:tcW w:w="1900" w:type="dxa"/>
            <w:tcBorders>
              <w:tl2br w:val="nil"/>
              <w:tr2bl w:val="nil"/>
            </w:tcBorders>
            <w:vAlign w:val="center"/>
          </w:tcPr>
          <w:p w14:paraId="492B590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olor w:val="auto"/>
                <w:szCs w:val="21"/>
                <w:highlight w:val="none"/>
              </w:rPr>
            </w:pPr>
            <w:r>
              <w:rPr>
                <w:rFonts w:hint="eastAsia" w:ascii="宋体" w:hAnsi="宋体"/>
                <w:b/>
                <w:color w:val="auto"/>
                <w:szCs w:val="21"/>
                <w:highlight w:val="none"/>
              </w:rPr>
              <w:t>条款名称</w:t>
            </w:r>
          </w:p>
        </w:tc>
        <w:tc>
          <w:tcPr>
            <w:tcW w:w="5394" w:type="dxa"/>
            <w:tcBorders>
              <w:tl2br w:val="nil"/>
              <w:tr2bl w:val="nil"/>
            </w:tcBorders>
            <w:vAlign w:val="center"/>
          </w:tcPr>
          <w:p w14:paraId="50E8D5F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bCs/>
                <w:color w:val="auto"/>
                <w:kern w:val="0"/>
                <w:szCs w:val="21"/>
                <w:highlight w:val="none"/>
              </w:rPr>
            </w:pPr>
            <w:r>
              <w:rPr>
                <w:rFonts w:hint="eastAsia" w:ascii="宋体" w:hAnsi="宋体"/>
                <w:b/>
                <w:color w:val="auto"/>
                <w:szCs w:val="21"/>
                <w:highlight w:val="none"/>
              </w:rPr>
              <w:t>编列内容规定</w:t>
            </w:r>
          </w:p>
        </w:tc>
      </w:tr>
      <w:tr w14:paraId="68126D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26" w:type="dxa"/>
            <w:tcBorders>
              <w:tl2br w:val="nil"/>
              <w:tr2bl w:val="nil"/>
            </w:tcBorders>
            <w:vAlign w:val="center"/>
          </w:tcPr>
          <w:p w14:paraId="6BE193E0">
            <w:pPr>
              <w:keepNext w:val="0"/>
              <w:keepLines w:val="0"/>
              <w:pageBreakBefore w:val="0"/>
              <w:widowControl w:val="0"/>
              <w:kinsoku/>
              <w:wordWrap/>
              <w:overflowPunct/>
              <w:topLinePunct w:val="0"/>
              <w:autoSpaceDE/>
              <w:autoSpaceDN/>
              <w:bidi w:val="0"/>
              <w:adjustRightInd w:val="0"/>
              <w:snapToGrid w:val="0"/>
              <w:spacing w:before="156" w:line="240" w:lineRule="auto"/>
              <w:jc w:val="center"/>
              <w:textAlignment w:val="auto"/>
              <w:rPr>
                <w:rFonts w:ascii="宋体" w:hAnsi="宋体"/>
                <w:color w:val="auto"/>
                <w:szCs w:val="21"/>
                <w:highlight w:val="none"/>
              </w:rPr>
            </w:pPr>
            <w:r>
              <w:rPr>
                <w:rFonts w:hint="eastAsia" w:ascii="宋体" w:hAnsi="宋体"/>
                <w:color w:val="auto"/>
                <w:szCs w:val="21"/>
                <w:highlight w:val="none"/>
              </w:rPr>
              <w:t>第2.1.2</w:t>
            </w:r>
            <w:r>
              <w:rPr>
                <w:rFonts w:hint="eastAsia" w:ascii="宋体" w:hAnsi="宋体" w:cs="宋体"/>
                <w:color w:val="auto"/>
                <w:kern w:val="0"/>
                <w:szCs w:val="21"/>
                <w:highlight w:val="none"/>
                <w:lang w:val="zh-CN"/>
              </w:rPr>
              <w:t>款</w:t>
            </w:r>
          </w:p>
        </w:tc>
        <w:tc>
          <w:tcPr>
            <w:tcW w:w="1900" w:type="dxa"/>
            <w:tcBorders>
              <w:tl2br w:val="nil"/>
              <w:tr2bl w:val="nil"/>
            </w:tcBorders>
            <w:vAlign w:val="center"/>
          </w:tcPr>
          <w:p w14:paraId="300F106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cs="宋体"/>
                <w:color w:val="auto"/>
                <w:szCs w:val="21"/>
                <w:highlight w:val="none"/>
              </w:rPr>
            </w:pPr>
            <w:r>
              <w:rPr>
                <w:rFonts w:hint="eastAsia" w:ascii="宋体" w:hAnsi="宋体" w:cs="宋体"/>
                <w:color w:val="auto"/>
                <w:szCs w:val="21"/>
                <w:highlight w:val="none"/>
              </w:rPr>
              <w:t>无效响应的规定</w:t>
            </w:r>
          </w:p>
        </w:tc>
        <w:tc>
          <w:tcPr>
            <w:tcW w:w="5394" w:type="dxa"/>
            <w:tcBorders>
              <w:tl2br w:val="nil"/>
              <w:tr2bl w:val="nil"/>
            </w:tcBorders>
            <w:vAlign w:val="center"/>
          </w:tcPr>
          <w:p w14:paraId="29A6ED2C">
            <w:pPr>
              <w:keepNext w:val="0"/>
              <w:keepLines w:val="0"/>
              <w:pageBreakBefore w:val="0"/>
              <w:widowControl w:val="0"/>
              <w:kinsoku/>
              <w:wordWrap/>
              <w:overflowPunct/>
              <w:topLinePunct w:val="0"/>
              <w:autoSpaceDE/>
              <w:autoSpaceDN/>
              <w:bidi w:val="0"/>
              <w:adjustRightInd w:val="0"/>
              <w:snapToGrid w:val="0"/>
              <w:spacing w:beforeLines="50" w:line="240" w:lineRule="auto"/>
              <w:ind w:right="-109" w:rightChars="-52"/>
              <w:textAlignment w:val="auto"/>
              <w:rPr>
                <w:rFonts w:ascii="宋体" w:hAnsi="宋体"/>
                <w:color w:val="auto"/>
                <w:szCs w:val="21"/>
                <w:highlight w:val="none"/>
              </w:rPr>
            </w:pPr>
            <w:r>
              <w:rPr>
                <w:rFonts w:hint="eastAsia" w:ascii="宋体" w:hAnsi="宋体"/>
                <w:color w:val="auto"/>
                <w:szCs w:val="21"/>
                <w:highlight w:val="none"/>
              </w:rPr>
              <w:t>响应文件属下列情况之一的，应当在资格性、符合性检查时按照无效响应处理：</w:t>
            </w:r>
          </w:p>
          <w:p w14:paraId="31DA042C">
            <w:pPr>
              <w:keepNext w:val="0"/>
              <w:keepLines w:val="0"/>
              <w:pageBreakBefore w:val="0"/>
              <w:widowControl w:val="0"/>
              <w:kinsoku/>
              <w:wordWrap/>
              <w:overflowPunct/>
              <w:topLinePunct w:val="0"/>
              <w:autoSpaceDE/>
              <w:autoSpaceDN/>
              <w:bidi w:val="0"/>
              <w:adjustRightInd w:val="0"/>
              <w:snapToGrid w:val="0"/>
              <w:spacing w:beforeLines="50" w:line="240" w:lineRule="auto"/>
              <w:ind w:right="-109" w:rightChars="-52"/>
              <w:textAlignment w:val="auto"/>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1</w:t>
            </w:r>
            <w:r>
              <w:rPr>
                <w:rFonts w:hint="eastAsia" w:ascii="宋体" w:hAnsi="宋体"/>
                <w:color w:val="auto"/>
                <w:szCs w:val="21"/>
                <w:highlight w:val="none"/>
              </w:rPr>
              <w:t>）未按照采购文件规定要求</w:t>
            </w:r>
            <w:r>
              <w:rPr>
                <w:rFonts w:hint="eastAsia" w:ascii="宋体" w:hAnsi="宋体"/>
                <w:color w:val="auto"/>
                <w:szCs w:val="21"/>
                <w:highlight w:val="none"/>
                <w:lang w:eastAsia="zh-CN"/>
              </w:rPr>
              <w:t>加密</w:t>
            </w:r>
            <w:r>
              <w:rPr>
                <w:rFonts w:hint="eastAsia" w:ascii="宋体" w:hAnsi="宋体"/>
                <w:color w:val="auto"/>
                <w:szCs w:val="21"/>
                <w:highlight w:val="none"/>
              </w:rPr>
              <w:t>、签署、盖章的；</w:t>
            </w:r>
          </w:p>
          <w:p w14:paraId="1F0626AB">
            <w:pPr>
              <w:keepNext w:val="0"/>
              <w:keepLines w:val="0"/>
              <w:pageBreakBefore w:val="0"/>
              <w:widowControl w:val="0"/>
              <w:kinsoku/>
              <w:wordWrap/>
              <w:overflowPunct/>
              <w:topLinePunct w:val="0"/>
              <w:autoSpaceDE/>
              <w:autoSpaceDN/>
              <w:bidi w:val="0"/>
              <w:adjustRightInd w:val="0"/>
              <w:snapToGrid w:val="0"/>
              <w:spacing w:beforeLines="50" w:line="240" w:lineRule="auto"/>
              <w:ind w:right="-109" w:rightChars="-52"/>
              <w:textAlignment w:val="auto"/>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s="Arial"/>
                <w:color w:val="auto"/>
                <w:szCs w:val="21"/>
                <w:highlight w:val="none"/>
              </w:rPr>
              <w:t>联合体没有提交</w:t>
            </w:r>
            <w:r>
              <w:rPr>
                <w:rFonts w:hint="eastAsia" w:ascii="宋体" w:hAnsi="宋体"/>
                <w:color w:val="auto"/>
                <w:szCs w:val="21"/>
                <w:highlight w:val="none"/>
              </w:rPr>
              <w:t>联合体协议书</w:t>
            </w:r>
            <w:r>
              <w:rPr>
                <w:rFonts w:hint="eastAsia" w:ascii="宋体" w:hAnsi="宋体"/>
                <w:bCs/>
                <w:color w:val="auto"/>
                <w:szCs w:val="21"/>
                <w:highlight w:val="none"/>
              </w:rPr>
              <w:t>，</w:t>
            </w:r>
            <w:r>
              <w:rPr>
                <w:rFonts w:hint="eastAsia"/>
                <w:color w:val="auto"/>
                <w:szCs w:val="21"/>
                <w:highlight w:val="none"/>
              </w:rPr>
              <w:t>或</w:t>
            </w:r>
            <w:r>
              <w:rPr>
                <w:rFonts w:hint="eastAsia" w:ascii="宋体" w:hAnsi="宋体"/>
                <w:color w:val="auto"/>
                <w:szCs w:val="21"/>
                <w:highlight w:val="none"/>
              </w:rPr>
              <w:t>未提交联合体各方资格证明文件</w:t>
            </w:r>
            <w:r>
              <w:rPr>
                <w:rFonts w:hint="eastAsia" w:ascii="宋体" w:hAnsi="宋体"/>
                <w:bCs/>
                <w:color w:val="auto"/>
                <w:szCs w:val="21"/>
                <w:highlight w:val="none"/>
              </w:rPr>
              <w:t>，</w:t>
            </w:r>
            <w:r>
              <w:rPr>
                <w:rFonts w:hint="eastAsia"/>
                <w:color w:val="auto"/>
                <w:szCs w:val="21"/>
                <w:highlight w:val="none"/>
              </w:rPr>
              <w:t>或</w:t>
            </w:r>
            <w:r>
              <w:rPr>
                <w:rFonts w:hint="eastAsia" w:ascii="宋体" w:hAnsi="宋体"/>
                <w:color w:val="auto"/>
                <w:szCs w:val="21"/>
                <w:highlight w:val="none"/>
              </w:rPr>
              <w:t>联合体</w:t>
            </w:r>
            <w:r>
              <w:rPr>
                <w:rFonts w:hint="eastAsia" w:ascii="宋体" w:hAnsi="宋体" w:cs="Arial"/>
                <w:color w:val="auto"/>
                <w:kern w:val="0"/>
                <w:szCs w:val="21"/>
                <w:highlight w:val="none"/>
              </w:rPr>
              <w:t>牵头方</w:t>
            </w:r>
            <w:r>
              <w:rPr>
                <w:rFonts w:hint="eastAsia"/>
                <w:color w:val="auto"/>
                <w:szCs w:val="21"/>
                <w:highlight w:val="none"/>
              </w:rPr>
              <w:t>不</w:t>
            </w:r>
            <w:r>
              <w:rPr>
                <w:rFonts w:hint="eastAsia" w:ascii="宋体" w:hAnsi="宋体"/>
                <w:color w:val="auto"/>
                <w:szCs w:val="21"/>
                <w:highlight w:val="none"/>
              </w:rPr>
              <w:t>符合本章第3.1</w:t>
            </w:r>
            <w:r>
              <w:rPr>
                <w:rFonts w:hint="eastAsia" w:ascii="宋体" w:hAnsi="宋体" w:cs="宋体"/>
                <w:color w:val="auto"/>
                <w:kern w:val="0"/>
                <w:szCs w:val="21"/>
                <w:highlight w:val="none"/>
                <w:lang w:val="zh-CN"/>
              </w:rPr>
              <w:t>款</w:t>
            </w:r>
            <w:r>
              <w:rPr>
                <w:rFonts w:hint="eastAsia" w:ascii="宋体" w:hAnsi="宋体"/>
                <w:color w:val="auto"/>
                <w:szCs w:val="21"/>
                <w:highlight w:val="none"/>
              </w:rPr>
              <w:t>规定的供应商资格条件</w:t>
            </w:r>
            <w:r>
              <w:rPr>
                <w:rFonts w:hint="eastAsia" w:ascii="宋体" w:hAnsi="宋体"/>
                <w:bCs/>
                <w:color w:val="auto"/>
                <w:szCs w:val="21"/>
                <w:highlight w:val="none"/>
              </w:rPr>
              <w:t>的；</w:t>
            </w:r>
          </w:p>
          <w:p w14:paraId="284DBFDB">
            <w:pPr>
              <w:keepNext w:val="0"/>
              <w:keepLines w:val="0"/>
              <w:pageBreakBefore w:val="0"/>
              <w:widowControl w:val="0"/>
              <w:kinsoku/>
              <w:wordWrap/>
              <w:overflowPunct/>
              <w:topLinePunct w:val="0"/>
              <w:autoSpaceDE/>
              <w:autoSpaceDN/>
              <w:bidi w:val="0"/>
              <w:adjustRightInd w:val="0"/>
              <w:snapToGrid w:val="0"/>
              <w:spacing w:beforeLines="50" w:line="240" w:lineRule="auto"/>
              <w:ind w:right="-109" w:rightChars="-52"/>
              <w:textAlignment w:val="auto"/>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）不具备第二章“供应商须知”第3.1</w:t>
            </w:r>
            <w:r>
              <w:rPr>
                <w:rFonts w:hint="eastAsia" w:ascii="宋体" w:hAnsi="宋体" w:cs="宋体"/>
                <w:color w:val="auto"/>
                <w:kern w:val="0"/>
                <w:szCs w:val="21"/>
                <w:highlight w:val="none"/>
                <w:lang w:val="zh-CN"/>
              </w:rPr>
              <w:t>款</w:t>
            </w:r>
            <w:r>
              <w:rPr>
                <w:rFonts w:hint="eastAsia" w:ascii="宋体" w:hAnsi="宋体"/>
                <w:color w:val="auto"/>
                <w:szCs w:val="21"/>
                <w:highlight w:val="none"/>
              </w:rPr>
              <w:t>规定的供应商资格要求的；</w:t>
            </w:r>
          </w:p>
          <w:p w14:paraId="750B4CA4">
            <w:pPr>
              <w:keepNext w:val="0"/>
              <w:keepLines w:val="0"/>
              <w:pageBreakBefore w:val="0"/>
              <w:widowControl w:val="0"/>
              <w:kinsoku/>
              <w:wordWrap/>
              <w:overflowPunct/>
              <w:topLinePunct w:val="0"/>
              <w:autoSpaceDE/>
              <w:autoSpaceDN/>
              <w:bidi w:val="0"/>
              <w:adjustRightInd w:val="0"/>
              <w:snapToGrid w:val="0"/>
              <w:spacing w:beforeLines="50" w:line="240" w:lineRule="auto"/>
              <w:ind w:right="-109" w:rightChars="-52"/>
              <w:textAlignment w:val="auto"/>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）不满足第二章“供应商须知”第10.</w:t>
            </w:r>
            <w:r>
              <w:rPr>
                <w:rFonts w:hint="eastAsia" w:ascii="宋体" w:hAnsi="宋体"/>
                <w:color w:val="auto"/>
                <w:szCs w:val="21"/>
                <w:highlight w:val="none"/>
                <w:lang w:val="en-US" w:eastAsia="zh-CN"/>
              </w:rPr>
              <w:t>1</w:t>
            </w:r>
            <w:r>
              <w:rPr>
                <w:rFonts w:hint="eastAsia" w:ascii="宋体" w:hAnsi="宋体" w:cs="宋体"/>
                <w:color w:val="auto"/>
                <w:kern w:val="0"/>
                <w:szCs w:val="21"/>
                <w:highlight w:val="none"/>
                <w:lang w:val="zh-CN"/>
              </w:rPr>
              <w:t>款、</w:t>
            </w:r>
            <w:r>
              <w:rPr>
                <w:rFonts w:hint="eastAsia" w:ascii="宋体" w:hAnsi="宋体"/>
                <w:color w:val="auto"/>
                <w:szCs w:val="21"/>
                <w:highlight w:val="none"/>
              </w:rPr>
              <w:t>第10.2</w:t>
            </w:r>
            <w:r>
              <w:rPr>
                <w:rFonts w:hint="eastAsia" w:ascii="宋体" w:hAnsi="宋体" w:cs="宋体"/>
                <w:color w:val="auto"/>
                <w:kern w:val="0"/>
                <w:szCs w:val="21"/>
                <w:highlight w:val="none"/>
                <w:lang w:val="zh-CN"/>
              </w:rPr>
              <w:t>款</w:t>
            </w:r>
            <w:r>
              <w:rPr>
                <w:rFonts w:hint="eastAsia" w:ascii="宋体" w:hAnsi="宋体"/>
                <w:bCs/>
                <w:color w:val="auto"/>
                <w:szCs w:val="21"/>
                <w:highlight w:val="none"/>
              </w:rPr>
              <w:t>规定的</w:t>
            </w:r>
            <w:r>
              <w:rPr>
                <w:rFonts w:hint="eastAsia" w:ascii="宋体" w:hAnsi="宋体"/>
                <w:color w:val="auto"/>
                <w:szCs w:val="21"/>
                <w:highlight w:val="none"/>
              </w:rPr>
              <w:t>实质性要求的；</w:t>
            </w:r>
          </w:p>
          <w:p w14:paraId="0227E3AD">
            <w:pPr>
              <w:keepNext w:val="0"/>
              <w:keepLines w:val="0"/>
              <w:pageBreakBefore w:val="0"/>
              <w:widowControl w:val="0"/>
              <w:kinsoku/>
              <w:wordWrap/>
              <w:overflowPunct/>
              <w:topLinePunct w:val="0"/>
              <w:autoSpaceDE/>
              <w:autoSpaceDN/>
              <w:bidi w:val="0"/>
              <w:adjustRightInd w:val="0"/>
              <w:snapToGrid w:val="0"/>
              <w:spacing w:beforeLines="50" w:line="240" w:lineRule="auto"/>
              <w:ind w:right="-109" w:rightChars="-52"/>
              <w:textAlignment w:val="auto"/>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）投标报价超过采购项目预算的；</w:t>
            </w:r>
          </w:p>
          <w:p w14:paraId="13170EE2">
            <w:pPr>
              <w:keepNext w:val="0"/>
              <w:keepLines w:val="0"/>
              <w:pageBreakBefore w:val="0"/>
              <w:widowControl w:val="0"/>
              <w:kinsoku/>
              <w:wordWrap/>
              <w:overflowPunct/>
              <w:topLinePunct w:val="0"/>
              <w:autoSpaceDE/>
              <w:autoSpaceDN/>
              <w:bidi w:val="0"/>
              <w:adjustRightInd w:val="0"/>
              <w:snapToGrid w:val="0"/>
              <w:spacing w:beforeLines="50" w:line="240" w:lineRule="auto"/>
              <w:textAlignment w:val="auto"/>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）同一供应商提交两个以上不同的响应文件或者投标报价的；</w:t>
            </w:r>
          </w:p>
          <w:p w14:paraId="2F3D2187">
            <w:pPr>
              <w:keepNext w:val="0"/>
              <w:keepLines w:val="0"/>
              <w:pageBreakBefore w:val="0"/>
              <w:widowControl w:val="0"/>
              <w:tabs>
                <w:tab w:val="left" w:pos="3105"/>
              </w:tabs>
              <w:kinsoku/>
              <w:wordWrap/>
              <w:overflowPunct/>
              <w:topLinePunct w:val="0"/>
              <w:autoSpaceDE/>
              <w:autoSpaceDN/>
              <w:bidi w:val="0"/>
              <w:adjustRightInd w:val="0"/>
              <w:snapToGrid w:val="0"/>
              <w:spacing w:beforeLines="50" w:line="240" w:lineRule="auto"/>
              <w:textAlignment w:val="auto"/>
              <w:rPr>
                <w:rFonts w:ascii="宋体" w:hAnsi="宋体"/>
                <w:color w:val="auto"/>
                <w:kern w:val="0"/>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w:t>
            </w:r>
            <w:r>
              <w:rPr>
                <w:rFonts w:hint="eastAsia" w:ascii="宋体" w:hAnsi="宋体"/>
                <w:color w:val="auto"/>
                <w:kern w:val="0"/>
                <w:highlight w:val="none"/>
              </w:rPr>
              <w:t>响应</w:t>
            </w:r>
            <w:r>
              <w:rPr>
                <w:rFonts w:ascii="宋体" w:hAnsi="宋体"/>
                <w:color w:val="auto"/>
                <w:kern w:val="0"/>
                <w:highlight w:val="none"/>
              </w:rPr>
              <w:t>文件载明的投标范围小于</w:t>
            </w:r>
            <w:r>
              <w:rPr>
                <w:rFonts w:hint="eastAsia" w:ascii="宋体" w:hAnsi="宋体"/>
                <w:color w:val="auto"/>
                <w:kern w:val="0"/>
                <w:highlight w:val="none"/>
              </w:rPr>
              <w:t>采购</w:t>
            </w:r>
            <w:r>
              <w:rPr>
                <w:rFonts w:ascii="宋体" w:hAnsi="宋体"/>
                <w:color w:val="auto"/>
                <w:kern w:val="0"/>
                <w:highlight w:val="none"/>
              </w:rPr>
              <w:t>文件规定的</w:t>
            </w:r>
            <w:r>
              <w:rPr>
                <w:rFonts w:hint="eastAsia" w:ascii="宋体" w:hAnsi="宋体"/>
                <w:color w:val="auto"/>
                <w:kern w:val="0"/>
                <w:highlight w:val="none"/>
              </w:rPr>
              <w:t>采购</w:t>
            </w:r>
            <w:r>
              <w:rPr>
                <w:rFonts w:ascii="宋体" w:hAnsi="宋体"/>
                <w:color w:val="auto"/>
                <w:kern w:val="0"/>
                <w:highlight w:val="none"/>
              </w:rPr>
              <w:t>范围的</w:t>
            </w:r>
            <w:r>
              <w:rPr>
                <w:rFonts w:hint="eastAsia" w:ascii="宋体" w:hAnsi="宋体"/>
                <w:color w:val="auto"/>
                <w:kern w:val="0"/>
                <w:highlight w:val="none"/>
              </w:rPr>
              <w:t>(</w:t>
            </w:r>
            <w:r>
              <w:rPr>
                <w:rFonts w:hint="eastAsia" w:ascii="宋体" w:hAnsi="宋体"/>
                <w:color w:val="auto"/>
                <w:szCs w:val="21"/>
                <w:highlight w:val="none"/>
              </w:rPr>
              <w:t>缺漏采购文件所要求的内容)</w:t>
            </w:r>
            <w:r>
              <w:rPr>
                <w:rFonts w:ascii="宋体" w:hAnsi="宋体"/>
                <w:color w:val="auto"/>
                <w:kern w:val="0"/>
                <w:highlight w:val="none"/>
              </w:rPr>
              <w:t>；</w:t>
            </w:r>
          </w:p>
          <w:p w14:paraId="3DD68233">
            <w:pPr>
              <w:keepNext w:val="0"/>
              <w:keepLines w:val="0"/>
              <w:pageBreakBefore w:val="0"/>
              <w:widowControl w:val="0"/>
              <w:tabs>
                <w:tab w:val="left" w:pos="3105"/>
              </w:tabs>
              <w:kinsoku/>
              <w:wordWrap/>
              <w:overflowPunct/>
              <w:topLinePunct w:val="0"/>
              <w:autoSpaceDE/>
              <w:autoSpaceDN/>
              <w:bidi w:val="0"/>
              <w:adjustRightInd w:val="0"/>
              <w:snapToGrid w:val="0"/>
              <w:spacing w:beforeLines="50" w:line="240" w:lineRule="auto"/>
              <w:textAlignment w:val="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8</w:t>
            </w:r>
            <w:r>
              <w:rPr>
                <w:rFonts w:hint="eastAsia" w:ascii="宋体" w:hAnsi="宋体"/>
                <w:color w:val="auto"/>
                <w:szCs w:val="21"/>
                <w:highlight w:val="none"/>
              </w:rPr>
              <w:t>）响应文件有效期不足的；</w:t>
            </w:r>
          </w:p>
          <w:p w14:paraId="0414618B">
            <w:pPr>
              <w:keepNext w:val="0"/>
              <w:keepLines w:val="0"/>
              <w:pageBreakBefore w:val="0"/>
              <w:widowControl w:val="0"/>
              <w:tabs>
                <w:tab w:val="left" w:pos="3105"/>
              </w:tabs>
              <w:kinsoku/>
              <w:wordWrap/>
              <w:overflowPunct/>
              <w:topLinePunct w:val="0"/>
              <w:autoSpaceDE/>
              <w:autoSpaceDN/>
              <w:bidi w:val="0"/>
              <w:adjustRightInd w:val="0"/>
              <w:snapToGrid w:val="0"/>
              <w:spacing w:beforeLines="50" w:line="240" w:lineRule="auto"/>
              <w:textAlignment w:val="auto"/>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9</w:t>
            </w:r>
            <w:r>
              <w:rPr>
                <w:rFonts w:hint="eastAsia" w:ascii="宋体" w:hAnsi="宋体"/>
                <w:color w:val="auto"/>
                <w:szCs w:val="21"/>
                <w:highlight w:val="none"/>
              </w:rPr>
              <w:t>）不符合法律、法规和采购文件规定的。</w:t>
            </w:r>
          </w:p>
        </w:tc>
      </w:tr>
      <w:tr w14:paraId="69995F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26" w:type="dxa"/>
            <w:tcBorders>
              <w:tl2br w:val="nil"/>
              <w:tr2bl w:val="nil"/>
            </w:tcBorders>
            <w:vAlign w:val="center"/>
          </w:tcPr>
          <w:p w14:paraId="26C3806C">
            <w:pPr>
              <w:keepNext w:val="0"/>
              <w:keepLines w:val="0"/>
              <w:pageBreakBefore w:val="0"/>
              <w:widowControl w:val="0"/>
              <w:kinsoku/>
              <w:wordWrap/>
              <w:overflowPunct/>
              <w:topLinePunct w:val="0"/>
              <w:autoSpaceDE/>
              <w:autoSpaceDN/>
              <w:bidi w:val="0"/>
              <w:adjustRightInd w:val="0"/>
              <w:snapToGrid w:val="0"/>
              <w:spacing w:before="156" w:line="240" w:lineRule="auto"/>
              <w:jc w:val="center"/>
              <w:textAlignment w:val="auto"/>
              <w:rPr>
                <w:rFonts w:ascii="宋体" w:hAnsi="宋体"/>
                <w:color w:val="auto"/>
                <w:szCs w:val="21"/>
                <w:highlight w:val="none"/>
              </w:rPr>
            </w:pPr>
            <w:r>
              <w:rPr>
                <w:rFonts w:hint="eastAsia" w:ascii="宋体" w:hAnsi="宋体"/>
                <w:color w:val="auto"/>
                <w:szCs w:val="21"/>
                <w:highlight w:val="none"/>
              </w:rPr>
              <w:t>第三章第2.1.3</w:t>
            </w:r>
            <w:r>
              <w:rPr>
                <w:rFonts w:hint="eastAsia" w:ascii="宋体" w:hAnsi="宋体" w:cs="宋体"/>
                <w:color w:val="auto"/>
                <w:kern w:val="0"/>
                <w:szCs w:val="21"/>
                <w:highlight w:val="none"/>
                <w:lang w:val="zh-CN"/>
              </w:rPr>
              <w:t>款</w:t>
            </w:r>
          </w:p>
        </w:tc>
        <w:tc>
          <w:tcPr>
            <w:tcW w:w="1900" w:type="dxa"/>
            <w:tcBorders>
              <w:tl2br w:val="nil"/>
              <w:tr2bl w:val="nil"/>
            </w:tcBorders>
            <w:vAlign w:val="center"/>
          </w:tcPr>
          <w:p w14:paraId="5F07772C">
            <w:pPr>
              <w:keepNext w:val="0"/>
              <w:keepLines w:val="0"/>
              <w:pageBreakBefore w:val="0"/>
              <w:widowControl w:val="0"/>
              <w:kinsoku/>
              <w:wordWrap/>
              <w:overflowPunct/>
              <w:topLinePunct w:val="0"/>
              <w:autoSpaceDE/>
              <w:autoSpaceDN/>
              <w:bidi w:val="0"/>
              <w:adjustRightInd w:val="0"/>
              <w:snapToGrid w:val="0"/>
              <w:spacing w:before="156" w:line="240" w:lineRule="auto"/>
              <w:jc w:val="center"/>
              <w:textAlignment w:val="auto"/>
              <w:rPr>
                <w:rFonts w:ascii="宋体" w:hAnsi="宋体"/>
                <w:color w:val="auto"/>
                <w:szCs w:val="21"/>
                <w:highlight w:val="none"/>
              </w:rPr>
            </w:pPr>
            <w:r>
              <w:rPr>
                <w:rFonts w:hint="eastAsia" w:ascii="宋体" w:hAnsi="宋体"/>
                <w:color w:val="auto"/>
                <w:szCs w:val="21"/>
                <w:highlight w:val="none"/>
              </w:rPr>
              <w:t>废标的规定</w:t>
            </w:r>
          </w:p>
        </w:tc>
        <w:tc>
          <w:tcPr>
            <w:tcW w:w="5394" w:type="dxa"/>
            <w:tcBorders>
              <w:tl2br w:val="nil"/>
              <w:tr2bl w:val="nil"/>
            </w:tcBorders>
            <w:vAlign w:val="center"/>
          </w:tcPr>
          <w:p w14:paraId="328AC03A">
            <w:pPr>
              <w:keepNext w:val="0"/>
              <w:keepLines w:val="0"/>
              <w:pageBreakBefore w:val="0"/>
              <w:widowControl w:val="0"/>
              <w:kinsoku/>
              <w:wordWrap/>
              <w:overflowPunct/>
              <w:topLinePunct w:val="0"/>
              <w:autoSpaceDE/>
              <w:autoSpaceDN/>
              <w:bidi w:val="0"/>
              <w:adjustRightInd w:val="0"/>
              <w:snapToGrid w:val="0"/>
              <w:spacing w:beforeLines="50" w:line="240" w:lineRule="auto"/>
              <w:ind w:right="-109" w:rightChars="-52"/>
              <w:textAlignment w:val="auto"/>
              <w:rPr>
                <w:rFonts w:ascii="宋体" w:hAnsi="宋体"/>
                <w:color w:val="auto"/>
                <w:szCs w:val="21"/>
                <w:highlight w:val="none"/>
              </w:rPr>
            </w:pPr>
            <w:r>
              <w:rPr>
                <w:rFonts w:hint="eastAsia" w:ascii="宋体" w:hAnsi="宋体"/>
                <w:color w:val="auto"/>
                <w:szCs w:val="21"/>
                <w:highlight w:val="none"/>
              </w:rPr>
              <w:t>有下列情形之一时，评审小组应予废标：</w:t>
            </w:r>
          </w:p>
          <w:p w14:paraId="2AC23AE6">
            <w:pPr>
              <w:keepNext w:val="0"/>
              <w:keepLines w:val="0"/>
              <w:pageBreakBefore w:val="0"/>
              <w:widowControl w:val="0"/>
              <w:kinsoku/>
              <w:wordWrap/>
              <w:overflowPunct/>
              <w:topLinePunct w:val="0"/>
              <w:autoSpaceDE/>
              <w:autoSpaceDN/>
              <w:bidi w:val="0"/>
              <w:adjustRightInd w:val="0"/>
              <w:snapToGrid w:val="0"/>
              <w:spacing w:beforeLines="50" w:line="240" w:lineRule="auto"/>
              <w:ind w:right="-109" w:rightChars="-52"/>
              <w:textAlignment w:val="auto"/>
              <w:rPr>
                <w:rFonts w:ascii="宋体" w:hAnsi="宋体"/>
                <w:color w:val="auto"/>
                <w:szCs w:val="21"/>
                <w:highlight w:val="none"/>
              </w:rPr>
            </w:pPr>
            <w:r>
              <w:rPr>
                <w:rFonts w:hint="eastAsia" w:ascii="宋体" w:hAnsi="宋体"/>
                <w:color w:val="auto"/>
                <w:szCs w:val="21"/>
                <w:highlight w:val="none"/>
              </w:rPr>
              <w:t>（1）出现影响采购公正的违法、违规行为的；</w:t>
            </w:r>
          </w:p>
          <w:p w14:paraId="1C94159C">
            <w:pPr>
              <w:keepNext w:val="0"/>
              <w:keepLines w:val="0"/>
              <w:pageBreakBefore w:val="0"/>
              <w:widowControl w:val="0"/>
              <w:kinsoku/>
              <w:wordWrap/>
              <w:overflowPunct/>
              <w:topLinePunct w:val="0"/>
              <w:autoSpaceDE/>
              <w:autoSpaceDN/>
              <w:bidi w:val="0"/>
              <w:adjustRightInd w:val="0"/>
              <w:snapToGrid w:val="0"/>
              <w:spacing w:beforeLines="50" w:line="240" w:lineRule="auto"/>
              <w:ind w:right="-109" w:rightChars="-52"/>
              <w:textAlignment w:val="auto"/>
              <w:rPr>
                <w:rFonts w:ascii="宋体" w:hAnsi="宋体"/>
                <w:color w:val="auto"/>
                <w:szCs w:val="21"/>
                <w:highlight w:val="none"/>
              </w:rPr>
            </w:pPr>
            <w:r>
              <w:rPr>
                <w:rFonts w:hint="eastAsia" w:ascii="宋体" w:hAnsi="宋体"/>
                <w:color w:val="auto"/>
                <w:szCs w:val="21"/>
                <w:highlight w:val="none"/>
              </w:rPr>
              <w:t>（2）供应商的报价均超过了采购预算；</w:t>
            </w:r>
          </w:p>
          <w:p w14:paraId="57F19882">
            <w:pPr>
              <w:keepNext w:val="0"/>
              <w:keepLines w:val="0"/>
              <w:pageBreakBefore w:val="0"/>
              <w:widowControl w:val="0"/>
              <w:kinsoku/>
              <w:wordWrap/>
              <w:overflowPunct/>
              <w:topLinePunct w:val="0"/>
              <w:autoSpaceDE/>
              <w:autoSpaceDN/>
              <w:bidi w:val="0"/>
              <w:adjustRightInd w:val="0"/>
              <w:snapToGrid w:val="0"/>
              <w:spacing w:beforeLines="50" w:line="240" w:lineRule="auto"/>
              <w:ind w:right="-109" w:rightChars="-52"/>
              <w:textAlignment w:val="auto"/>
              <w:rPr>
                <w:rFonts w:ascii="宋体" w:hAnsi="宋体"/>
                <w:color w:val="auto"/>
                <w:szCs w:val="21"/>
                <w:highlight w:val="none"/>
              </w:rPr>
            </w:pPr>
            <w:r>
              <w:rPr>
                <w:rFonts w:hint="eastAsia" w:ascii="宋体" w:hAnsi="宋体"/>
                <w:color w:val="auto"/>
                <w:szCs w:val="21"/>
                <w:highlight w:val="none"/>
              </w:rPr>
              <w:t>（3）评审过程中，合格供应商仅有一家；</w:t>
            </w:r>
          </w:p>
          <w:p w14:paraId="7A2D9470">
            <w:pPr>
              <w:keepNext w:val="0"/>
              <w:keepLines w:val="0"/>
              <w:pageBreakBefore w:val="0"/>
              <w:widowControl w:val="0"/>
              <w:kinsoku/>
              <w:wordWrap/>
              <w:overflowPunct/>
              <w:topLinePunct w:val="0"/>
              <w:autoSpaceDE/>
              <w:autoSpaceDN/>
              <w:bidi w:val="0"/>
              <w:adjustRightInd w:val="0"/>
              <w:snapToGrid w:val="0"/>
              <w:spacing w:beforeLines="50" w:line="240" w:lineRule="auto"/>
              <w:ind w:right="-109" w:rightChars="-52"/>
              <w:textAlignment w:val="auto"/>
              <w:rPr>
                <w:rFonts w:hint="eastAsia" w:ascii="宋体" w:hAnsi="宋体"/>
                <w:color w:val="auto"/>
                <w:szCs w:val="21"/>
                <w:highlight w:val="none"/>
              </w:rPr>
            </w:pPr>
            <w:r>
              <w:rPr>
                <w:rFonts w:hint="eastAsia" w:ascii="宋体" w:hAnsi="宋体"/>
                <w:color w:val="auto"/>
                <w:szCs w:val="21"/>
                <w:highlight w:val="none"/>
              </w:rPr>
              <w:t>（4）因重大变故，采购任务取消的。</w:t>
            </w:r>
          </w:p>
          <w:p w14:paraId="161E7DA5">
            <w:pPr>
              <w:keepNext w:val="0"/>
              <w:keepLines w:val="0"/>
              <w:pageBreakBefore w:val="0"/>
              <w:widowControl w:val="0"/>
              <w:kinsoku/>
              <w:wordWrap/>
              <w:overflowPunct/>
              <w:topLinePunct w:val="0"/>
              <w:autoSpaceDE/>
              <w:autoSpaceDN/>
              <w:bidi w:val="0"/>
              <w:adjustRightInd w:val="0"/>
              <w:snapToGrid w:val="0"/>
              <w:spacing w:beforeLines="50" w:line="240" w:lineRule="auto"/>
              <w:ind w:right="-109" w:rightChars="-52"/>
              <w:textAlignment w:val="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bCs/>
                <w:color w:val="auto"/>
                <w:szCs w:val="21"/>
                <w:highlight w:val="red"/>
                <w:lang w:val="en-US" w:eastAsia="zh-CN"/>
              </w:rPr>
              <w:t>评审小组认为</w:t>
            </w:r>
            <w:r>
              <w:rPr>
                <w:rFonts w:hint="eastAsia" w:ascii="宋体" w:hAnsi="宋体"/>
                <w:bCs/>
                <w:color w:val="auto"/>
                <w:szCs w:val="21"/>
                <w:highlight w:val="red"/>
              </w:rPr>
              <w:t>所有报价均显著高于市场合理水平或缺乏有效竞争</w:t>
            </w:r>
            <w:r>
              <w:rPr>
                <w:rFonts w:hint="eastAsia" w:ascii="宋体" w:hAnsi="宋体"/>
                <w:bCs/>
                <w:color w:val="auto"/>
                <w:szCs w:val="21"/>
                <w:highlight w:val="red"/>
                <w:lang w:val="en-US" w:eastAsia="zh-CN"/>
              </w:rPr>
              <w:t>,可</w:t>
            </w:r>
            <w:r>
              <w:rPr>
                <w:rFonts w:hint="eastAsia" w:ascii="宋体" w:hAnsi="宋体"/>
                <w:bCs/>
                <w:color w:val="auto"/>
                <w:szCs w:val="21"/>
                <w:highlight w:val="red"/>
              </w:rPr>
              <w:t>否决所有投标</w:t>
            </w:r>
            <w:r>
              <w:rPr>
                <w:rFonts w:hint="eastAsia" w:ascii="宋体" w:hAnsi="宋体"/>
                <w:bCs/>
                <w:color w:val="auto"/>
                <w:szCs w:val="21"/>
                <w:highlight w:val="red"/>
                <w:lang w:eastAsia="zh-CN"/>
              </w:rPr>
              <w:t>并</w:t>
            </w:r>
            <w:r>
              <w:rPr>
                <w:rFonts w:hint="eastAsia" w:ascii="宋体" w:hAnsi="宋体"/>
                <w:bCs/>
                <w:color w:val="auto"/>
                <w:szCs w:val="21"/>
                <w:highlight w:val="red"/>
              </w:rPr>
              <w:t>重新招标</w:t>
            </w:r>
            <w:r>
              <w:rPr>
                <w:rFonts w:hint="eastAsia" w:ascii="宋体" w:hAnsi="宋体"/>
                <w:color w:val="auto"/>
                <w:szCs w:val="21"/>
                <w:highlight w:val="none"/>
              </w:rPr>
              <w:t>。</w:t>
            </w:r>
          </w:p>
        </w:tc>
      </w:tr>
      <w:tr w14:paraId="1A0024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26" w:type="dxa"/>
            <w:tcBorders>
              <w:tl2br w:val="nil"/>
              <w:tr2bl w:val="nil"/>
            </w:tcBorders>
            <w:vAlign w:val="center"/>
          </w:tcPr>
          <w:p w14:paraId="6F4A2443">
            <w:pPr>
              <w:keepNext w:val="0"/>
              <w:keepLines w:val="0"/>
              <w:pageBreakBefore w:val="0"/>
              <w:widowControl w:val="0"/>
              <w:kinsoku/>
              <w:wordWrap/>
              <w:overflowPunct/>
              <w:topLinePunct w:val="0"/>
              <w:autoSpaceDE/>
              <w:autoSpaceDN/>
              <w:bidi w:val="0"/>
              <w:adjustRightInd w:val="0"/>
              <w:snapToGrid w:val="0"/>
              <w:spacing w:before="156" w:line="240" w:lineRule="auto"/>
              <w:jc w:val="center"/>
              <w:textAlignment w:val="auto"/>
              <w:rPr>
                <w:rFonts w:ascii="宋体" w:hAnsi="宋体"/>
                <w:color w:val="auto"/>
                <w:szCs w:val="21"/>
                <w:highlight w:val="none"/>
              </w:rPr>
            </w:pPr>
            <w:r>
              <w:rPr>
                <w:rFonts w:hint="eastAsia" w:ascii="宋体" w:hAnsi="宋体"/>
                <w:color w:val="auto"/>
                <w:szCs w:val="21"/>
                <w:highlight w:val="none"/>
              </w:rPr>
              <w:t>第2.4.2</w:t>
            </w:r>
            <w:r>
              <w:rPr>
                <w:rFonts w:hint="eastAsia" w:ascii="宋体" w:hAnsi="宋体" w:cs="宋体"/>
                <w:color w:val="auto"/>
                <w:kern w:val="0"/>
                <w:szCs w:val="21"/>
                <w:highlight w:val="none"/>
                <w:lang w:val="zh-CN"/>
              </w:rPr>
              <w:t>款</w:t>
            </w:r>
          </w:p>
        </w:tc>
        <w:tc>
          <w:tcPr>
            <w:tcW w:w="1900" w:type="dxa"/>
            <w:tcBorders>
              <w:tl2br w:val="nil"/>
              <w:tr2bl w:val="nil"/>
            </w:tcBorders>
            <w:vAlign w:val="center"/>
          </w:tcPr>
          <w:p w14:paraId="23BF204E">
            <w:pPr>
              <w:keepNext w:val="0"/>
              <w:keepLines w:val="0"/>
              <w:pageBreakBefore w:val="0"/>
              <w:widowControl w:val="0"/>
              <w:kinsoku/>
              <w:wordWrap/>
              <w:overflowPunct/>
              <w:topLinePunct w:val="0"/>
              <w:autoSpaceDE/>
              <w:autoSpaceDN/>
              <w:bidi w:val="0"/>
              <w:adjustRightInd w:val="0"/>
              <w:snapToGrid w:val="0"/>
              <w:spacing w:before="156" w:line="240" w:lineRule="auto"/>
              <w:jc w:val="center"/>
              <w:textAlignment w:val="auto"/>
              <w:rPr>
                <w:rFonts w:ascii="宋体" w:hAnsi="宋体"/>
                <w:color w:val="auto"/>
                <w:szCs w:val="21"/>
                <w:highlight w:val="none"/>
              </w:rPr>
            </w:pPr>
            <w:r>
              <w:rPr>
                <w:rFonts w:hint="eastAsia" w:ascii="宋体" w:hAnsi="宋体"/>
                <w:bCs/>
                <w:color w:val="auto"/>
                <w:szCs w:val="21"/>
                <w:highlight w:val="none"/>
              </w:rPr>
              <w:t>成交供应商</w:t>
            </w:r>
            <w:r>
              <w:rPr>
                <w:rFonts w:hint="eastAsia" w:ascii="宋体" w:hAnsi="宋体"/>
                <w:color w:val="auto"/>
                <w:szCs w:val="21"/>
                <w:highlight w:val="none"/>
              </w:rPr>
              <w:t>候选人数量</w:t>
            </w:r>
          </w:p>
        </w:tc>
        <w:tc>
          <w:tcPr>
            <w:tcW w:w="5394" w:type="dxa"/>
            <w:tcBorders>
              <w:tl2br w:val="nil"/>
              <w:tr2bl w:val="nil"/>
            </w:tcBorders>
            <w:vAlign w:val="center"/>
          </w:tcPr>
          <w:p w14:paraId="158A0A0A">
            <w:pPr>
              <w:keepNext w:val="0"/>
              <w:keepLines w:val="0"/>
              <w:pageBreakBefore w:val="0"/>
              <w:widowControl w:val="0"/>
              <w:kinsoku/>
              <w:wordWrap/>
              <w:overflowPunct/>
              <w:topLinePunct w:val="0"/>
              <w:autoSpaceDE/>
              <w:autoSpaceDN/>
              <w:bidi w:val="0"/>
              <w:adjustRightInd w:val="0"/>
              <w:snapToGrid w:val="0"/>
              <w:spacing w:beforeLines="50" w:line="240" w:lineRule="auto"/>
              <w:ind w:right="-109" w:rightChars="-52"/>
              <w:textAlignment w:val="auto"/>
              <w:rPr>
                <w:rFonts w:ascii="宋体" w:hAnsi="宋体"/>
                <w:color w:val="auto"/>
                <w:szCs w:val="21"/>
                <w:highlight w:val="none"/>
              </w:rPr>
            </w:pPr>
            <w:r>
              <w:rPr>
                <w:rFonts w:hint="eastAsia" w:ascii="宋体" w:hAnsi="宋体"/>
                <w:color w:val="auto"/>
                <w:szCs w:val="21"/>
                <w:highlight w:val="none"/>
              </w:rPr>
              <w:t>3名</w:t>
            </w:r>
          </w:p>
        </w:tc>
      </w:tr>
    </w:tbl>
    <w:p w14:paraId="1E86CC59">
      <w:pPr>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br w:type="page"/>
      </w:r>
    </w:p>
    <w:p w14:paraId="7879FBCF">
      <w:pPr>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评审因素和标准</w:t>
      </w:r>
    </w:p>
    <w:tbl>
      <w:tblPr>
        <w:tblStyle w:val="20"/>
        <w:tblW w:w="8946" w:type="dxa"/>
        <w:tblInd w:w="93" w:type="dxa"/>
        <w:tblLayout w:type="autofit"/>
        <w:tblCellMar>
          <w:top w:w="0" w:type="dxa"/>
          <w:left w:w="108" w:type="dxa"/>
          <w:bottom w:w="0" w:type="dxa"/>
          <w:right w:w="108" w:type="dxa"/>
        </w:tblCellMar>
      </w:tblPr>
      <w:tblGrid>
        <w:gridCol w:w="895"/>
        <w:gridCol w:w="2438"/>
        <w:gridCol w:w="5613"/>
      </w:tblGrid>
      <w:tr w14:paraId="145A2A80">
        <w:tblPrEx>
          <w:tblCellMar>
            <w:top w:w="0" w:type="dxa"/>
            <w:left w:w="108" w:type="dxa"/>
            <w:bottom w:w="0" w:type="dxa"/>
            <w:right w:w="108" w:type="dxa"/>
          </w:tblCellMar>
        </w:tblPrEx>
        <w:trPr>
          <w:trHeight w:val="435" w:hRule="atLeast"/>
        </w:trPr>
        <w:tc>
          <w:tcPr>
            <w:tcW w:w="8946" w:type="dxa"/>
            <w:gridSpan w:val="3"/>
            <w:tcBorders>
              <w:top w:val="single" w:color="000000" w:sz="4" w:space="0"/>
              <w:left w:val="single" w:color="000000" w:sz="4" w:space="0"/>
              <w:bottom w:val="single" w:color="000000" w:sz="4" w:space="0"/>
              <w:right w:val="single" w:color="000000" w:sz="4" w:space="0"/>
            </w:tcBorders>
            <w:vAlign w:val="center"/>
          </w:tcPr>
          <w:p w14:paraId="0E70291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eastAsia="zh-CN" w:bidi="ar"/>
              </w:rPr>
              <w:t>最低价</w:t>
            </w:r>
            <w:r>
              <w:rPr>
                <w:rFonts w:hint="eastAsia" w:ascii="宋体" w:hAnsi="宋体" w:cs="宋体"/>
                <w:color w:val="auto"/>
                <w:kern w:val="0"/>
                <w:sz w:val="21"/>
                <w:szCs w:val="21"/>
                <w:highlight w:val="none"/>
                <w:lang w:bidi="ar"/>
              </w:rPr>
              <w:t xml:space="preserve">评分表 </w:t>
            </w:r>
          </w:p>
        </w:tc>
      </w:tr>
      <w:tr w14:paraId="7C26B70D">
        <w:tblPrEx>
          <w:tblCellMar>
            <w:top w:w="0" w:type="dxa"/>
            <w:left w:w="108" w:type="dxa"/>
            <w:bottom w:w="0" w:type="dxa"/>
            <w:right w:w="108" w:type="dxa"/>
          </w:tblCellMar>
        </w:tblPrEx>
        <w:trPr>
          <w:trHeight w:val="435" w:hRule="atLeast"/>
        </w:trPr>
        <w:tc>
          <w:tcPr>
            <w:tcW w:w="3333" w:type="dxa"/>
            <w:gridSpan w:val="2"/>
            <w:tcBorders>
              <w:top w:val="single" w:color="000000" w:sz="4" w:space="0"/>
              <w:left w:val="single" w:color="000000" w:sz="4" w:space="0"/>
              <w:bottom w:val="single" w:color="000000" w:sz="4" w:space="0"/>
              <w:right w:val="single" w:color="000000" w:sz="4" w:space="0"/>
            </w:tcBorders>
            <w:vAlign w:val="center"/>
          </w:tcPr>
          <w:p w14:paraId="4FBAA03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评分因素</w:t>
            </w:r>
          </w:p>
        </w:tc>
        <w:tc>
          <w:tcPr>
            <w:tcW w:w="5613" w:type="dxa"/>
            <w:tcBorders>
              <w:top w:val="single" w:color="000000" w:sz="4" w:space="0"/>
              <w:left w:val="single" w:color="000000" w:sz="4" w:space="0"/>
              <w:bottom w:val="single" w:color="000000" w:sz="4" w:space="0"/>
              <w:right w:val="single" w:color="000000" w:sz="4" w:space="0"/>
            </w:tcBorders>
            <w:vAlign w:val="center"/>
          </w:tcPr>
          <w:p w14:paraId="3BB136F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评分标准</w:t>
            </w:r>
          </w:p>
        </w:tc>
      </w:tr>
      <w:tr w14:paraId="0F0FBDE1">
        <w:tblPrEx>
          <w:tblCellMar>
            <w:top w:w="0" w:type="dxa"/>
            <w:left w:w="108" w:type="dxa"/>
            <w:bottom w:w="0" w:type="dxa"/>
            <w:right w:w="108" w:type="dxa"/>
          </w:tblCellMar>
        </w:tblPrEx>
        <w:trPr>
          <w:trHeight w:val="885" w:hRule="atLeast"/>
        </w:trPr>
        <w:tc>
          <w:tcPr>
            <w:tcW w:w="895" w:type="dxa"/>
            <w:vMerge w:val="restart"/>
            <w:tcBorders>
              <w:top w:val="single" w:color="000000" w:sz="4" w:space="0"/>
              <w:left w:val="single" w:color="000000" w:sz="4" w:space="0"/>
              <w:bottom w:val="single" w:color="000000" w:sz="4" w:space="0"/>
              <w:right w:val="single" w:color="000000" w:sz="4" w:space="0"/>
            </w:tcBorders>
            <w:vAlign w:val="center"/>
          </w:tcPr>
          <w:p w14:paraId="34F8B8E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cs="宋体"/>
                <w:b/>
                <w:bCs/>
                <w:color w:val="auto"/>
                <w:sz w:val="21"/>
                <w:szCs w:val="21"/>
                <w:highlight w:val="none"/>
              </w:rPr>
            </w:pPr>
          </w:p>
        </w:tc>
        <w:tc>
          <w:tcPr>
            <w:tcW w:w="2438" w:type="dxa"/>
            <w:tcBorders>
              <w:top w:val="single" w:color="000000" w:sz="4" w:space="0"/>
              <w:left w:val="single" w:color="000000" w:sz="4" w:space="0"/>
              <w:bottom w:val="single" w:color="auto" w:sz="4" w:space="0"/>
              <w:right w:val="single" w:color="000000" w:sz="4" w:space="0"/>
            </w:tcBorders>
            <w:vAlign w:val="center"/>
          </w:tcPr>
          <w:p w14:paraId="480D6C6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施工方案与技术措施</w:t>
            </w:r>
          </w:p>
          <w:p w14:paraId="02CD59F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cs="宋体"/>
                <w:color w:val="auto"/>
                <w:kern w:val="0"/>
                <w:sz w:val="21"/>
                <w:szCs w:val="21"/>
                <w:highlight w:val="none"/>
                <w:lang w:bidi="ar"/>
              </w:rPr>
            </w:pPr>
          </w:p>
        </w:tc>
        <w:tc>
          <w:tcPr>
            <w:tcW w:w="5613" w:type="dxa"/>
            <w:tcBorders>
              <w:top w:val="single" w:color="000000" w:sz="4" w:space="0"/>
              <w:left w:val="single" w:color="000000" w:sz="4" w:space="0"/>
              <w:bottom w:val="single" w:color="000000" w:sz="4" w:space="0"/>
              <w:right w:val="single" w:color="000000" w:sz="4" w:space="0"/>
            </w:tcBorders>
            <w:vAlign w:val="center"/>
          </w:tcPr>
          <w:p w14:paraId="600BFC03">
            <w:pPr>
              <w:pStyle w:val="10"/>
              <w:keepNext w:val="0"/>
              <w:keepLines w:val="0"/>
              <w:pageBreakBefore w:val="0"/>
              <w:kinsoku/>
              <w:wordWrap/>
              <w:overflowPunct/>
              <w:topLinePunct w:val="0"/>
              <w:autoSpaceDE/>
              <w:autoSpaceDN/>
              <w:bidi w:val="0"/>
              <w:adjustRightInd/>
              <w:snapToGrid/>
              <w:spacing w:line="240" w:lineRule="auto"/>
              <w:rPr>
                <w:rFonts w:hint="default" w:ascii="宋体" w:hAnsi="宋体" w:cs="宋体"/>
                <w:color w:val="auto"/>
                <w:sz w:val="21"/>
                <w:szCs w:val="21"/>
                <w:highlight w:val="none"/>
                <w:lang w:val="en-US"/>
              </w:rPr>
            </w:pPr>
            <w:r>
              <w:rPr>
                <w:rFonts w:hint="eastAsia" w:ascii="宋体" w:hAnsi="宋体" w:eastAsia="宋体" w:cs="宋体"/>
                <w:color w:val="auto"/>
                <w:kern w:val="2"/>
                <w:sz w:val="21"/>
                <w:szCs w:val="21"/>
                <w:highlight w:val="none"/>
                <w:shd w:val="clear" w:color="auto" w:fill="auto"/>
                <w:lang w:val="en-US" w:eastAsia="zh-CN" w:bidi="ar-SA"/>
              </w:rPr>
              <w:t>包括但不限于①对项目总体概况表述清晰、完整；②部署及措施先进、可靠；③对项目主要及关键方案有深入的表述，对重点、难点分析透彻，解决方案切实可行；④施工平面布置有针对性、合理，较好满足施工需要，符合安全、文明生产要求；⑤主要施工顺序、施工工艺、作业方法、作业流程、操作要领切实可行、有针对性。符合本项目要求为合格，否则直接废标。</w:t>
            </w:r>
          </w:p>
        </w:tc>
      </w:tr>
      <w:tr w14:paraId="1C393ACF">
        <w:tblPrEx>
          <w:tblCellMar>
            <w:top w:w="0" w:type="dxa"/>
            <w:left w:w="108" w:type="dxa"/>
            <w:bottom w:w="0" w:type="dxa"/>
            <w:right w:w="108" w:type="dxa"/>
          </w:tblCellMar>
        </w:tblPrEx>
        <w:trPr>
          <w:trHeight w:val="1006" w:hRule="atLeast"/>
        </w:trPr>
        <w:tc>
          <w:tcPr>
            <w:tcW w:w="895" w:type="dxa"/>
            <w:vMerge w:val="continue"/>
            <w:tcBorders>
              <w:top w:val="single" w:color="000000" w:sz="4" w:space="0"/>
              <w:left w:val="single" w:color="000000" w:sz="4" w:space="0"/>
              <w:bottom w:val="single" w:color="000000" w:sz="4" w:space="0"/>
              <w:right w:val="single" w:color="000000" w:sz="4" w:space="0"/>
            </w:tcBorders>
            <w:vAlign w:val="center"/>
          </w:tcPr>
          <w:p w14:paraId="2A717100">
            <w:pPr>
              <w:keepNext w:val="0"/>
              <w:keepLines w:val="0"/>
              <w:pageBreakBefore w:val="0"/>
              <w:kinsoku/>
              <w:wordWrap/>
              <w:overflowPunct/>
              <w:topLinePunct w:val="0"/>
              <w:autoSpaceDE/>
              <w:autoSpaceDN/>
              <w:bidi w:val="0"/>
              <w:adjustRightInd/>
              <w:snapToGrid/>
              <w:spacing w:line="240" w:lineRule="auto"/>
              <w:jc w:val="center"/>
              <w:rPr>
                <w:rFonts w:ascii="宋体" w:hAnsi="宋体" w:cs="宋体"/>
                <w:b/>
                <w:bCs/>
                <w:color w:val="auto"/>
                <w:sz w:val="21"/>
                <w:szCs w:val="21"/>
                <w:highlight w:val="none"/>
              </w:rPr>
            </w:pPr>
          </w:p>
        </w:tc>
        <w:tc>
          <w:tcPr>
            <w:tcW w:w="2438" w:type="dxa"/>
            <w:tcBorders>
              <w:top w:val="single" w:color="auto" w:sz="4" w:space="0"/>
              <w:left w:val="single" w:color="000000" w:sz="4" w:space="0"/>
              <w:bottom w:val="single" w:color="auto" w:sz="4" w:space="0"/>
              <w:right w:val="single" w:color="000000" w:sz="4" w:space="0"/>
            </w:tcBorders>
            <w:vAlign w:val="center"/>
          </w:tcPr>
          <w:p w14:paraId="5A78C20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质量管理体系与措施</w:t>
            </w:r>
          </w:p>
          <w:p w14:paraId="646993A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lang w:eastAsia="zh-CN" w:bidi="ar"/>
              </w:rPr>
            </w:pPr>
          </w:p>
        </w:tc>
        <w:tc>
          <w:tcPr>
            <w:tcW w:w="5613" w:type="dxa"/>
            <w:tcBorders>
              <w:top w:val="single" w:color="000000" w:sz="4" w:space="0"/>
              <w:left w:val="single" w:color="000000" w:sz="4" w:space="0"/>
              <w:bottom w:val="single" w:color="000000" w:sz="4" w:space="0"/>
              <w:right w:val="single" w:color="000000" w:sz="4" w:space="0"/>
            </w:tcBorders>
            <w:vAlign w:val="center"/>
          </w:tcPr>
          <w:p w14:paraId="35B9D69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hAnsi="宋体" w:cs="宋体"/>
                <w:color w:val="auto"/>
                <w:kern w:val="0"/>
                <w:sz w:val="21"/>
                <w:szCs w:val="21"/>
                <w:highlight w:val="none"/>
                <w:lang w:bidi="ar"/>
              </w:rPr>
            </w:pPr>
            <w:r>
              <w:rPr>
                <w:rFonts w:hint="eastAsia" w:ascii="宋体" w:hAnsi="宋体" w:eastAsia="宋体" w:cs="宋体"/>
                <w:color w:val="auto"/>
                <w:sz w:val="21"/>
                <w:szCs w:val="21"/>
                <w:highlight w:val="none"/>
                <w:shd w:val="clear" w:color="auto" w:fill="auto"/>
                <w:lang w:val="en-US" w:eastAsia="zh-CN"/>
              </w:rPr>
              <w:t>包括但不限于①</w:t>
            </w:r>
            <w:r>
              <w:rPr>
                <w:rFonts w:hint="eastAsia" w:ascii="宋体" w:hAnsi="宋体" w:eastAsia="宋体" w:cs="宋体"/>
                <w:color w:val="auto"/>
                <w:sz w:val="21"/>
                <w:szCs w:val="21"/>
                <w:highlight w:val="none"/>
                <w:shd w:val="clear" w:color="auto" w:fill="auto"/>
              </w:rPr>
              <w:t>质量管理目标明确，满足</w:t>
            </w:r>
            <w:r>
              <w:rPr>
                <w:rFonts w:hint="eastAsia" w:ascii="宋体" w:hAnsi="宋体" w:cs="宋体"/>
                <w:color w:val="auto"/>
                <w:sz w:val="21"/>
                <w:szCs w:val="21"/>
                <w:highlight w:val="none"/>
                <w:shd w:val="clear" w:color="auto" w:fill="auto"/>
                <w:lang w:val="en-US" w:eastAsia="zh-CN"/>
              </w:rPr>
              <w:t>竞争性谈判</w:t>
            </w:r>
            <w:r>
              <w:rPr>
                <w:rFonts w:hint="eastAsia" w:ascii="宋体" w:hAnsi="宋体" w:eastAsia="宋体" w:cs="宋体"/>
                <w:color w:val="auto"/>
                <w:sz w:val="21"/>
                <w:szCs w:val="21"/>
                <w:highlight w:val="none"/>
                <w:shd w:val="clear" w:color="auto" w:fill="auto"/>
              </w:rPr>
              <w:t>文件的要求；</w:t>
            </w:r>
            <w:r>
              <w:rPr>
                <w:rFonts w:hint="eastAsia" w:ascii="宋体" w:hAnsi="宋体" w:eastAsia="宋体" w:cs="宋体"/>
                <w:color w:val="auto"/>
                <w:sz w:val="21"/>
                <w:szCs w:val="21"/>
                <w:highlight w:val="none"/>
                <w:shd w:val="clear" w:color="auto" w:fill="auto"/>
                <w:lang w:val="en-US" w:eastAsia="zh-CN"/>
              </w:rPr>
              <w:t>②</w:t>
            </w:r>
            <w:r>
              <w:rPr>
                <w:rFonts w:hint="eastAsia" w:ascii="宋体" w:hAnsi="宋体" w:eastAsia="宋体" w:cs="宋体"/>
                <w:color w:val="auto"/>
                <w:sz w:val="21"/>
                <w:szCs w:val="21"/>
                <w:highlight w:val="none"/>
                <w:shd w:val="clear" w:color="auto" w:fill="auto"/>
              </w:rPr>
              <w:t>管理机构健全，职责分工明确；</w:t>
            </w:r>
            <w:r>
              <w:rPr>
                <w:rFonts w:hint="eastAsia" w:ascii="宋体" w:hAnsi="宋体" w:eastAsia="宋体" w:cs="宋体"/>
                <w:color w:val="auto"/>
                <w:sz w:val="21"/>
                <w:szCs w:val="21"/>
                <w:highlight w:val="none"/>
                <w:shd w:val="clear" w:color="auto" w:fill="auto"/>
                <w:lang w:val="en-US" w:eastAsia="zh-CN"/>
              </w:rPr>
              <w:t>③</w:t>
            </w:r>
            <w:r>
              <w:rPr>
                <w:rFonts w:hint="eastAsia" w:ascii="宋体" w:hAnsi="宋体" w:eastAsia="宋体" w:cs="宋体"/>
                <w:color w:val="auto"/>
                <w:sz w:val="21"/>
                <w:szCs w:val="21"/>
                <w:highlight w:val="none"/>
                <w:shd w:val="clear" w:color="auto" w:fill="auto"/>
              </w:rPr>
              <w:t>管理制度齐全；</w:t>
            </w:r>
            <w:r>
              <w:rPr>
                <w:rFonts w:hint="eastAsia" w:ascii="宋体" w:hAnsi="宋体" w:eastAsia="宋体" w:cs="宋体"/>
                <w:color w:val="auto"/>
                <w:sz w:val="21"/>
                <w:szCs w:val="21"/>
                <w:highlight w:val="none"/>
                <w:shd w:val="clear" w:color="auto" w:fill="auto"/>
                <w:lang w:val="en-US" w:eastAsia="zh-CN"/>
              </w:rPr>
              <w:t>④</w:t>
            </w:r>
            <w:r>
              <w:rPr>
                <w:rFonts w:hint="eastAsia" w:ascii="宋体" w:hAnsi="宋体" w:eastAsia="宋体" w:cs="宋体"/>
                <w:color w:val="auto"/>
                <w:sz w:val="21"/>
                <w:szCs w:val="21"/>
                <w:highlight w:val="none"/>
                <w:shd w:val="clear" w:color="auto" w:fill="auto"/>
              </w:rPr>
              <w:t>实施与监控措施全面</w:t>
            </w:r>
            <w:r>
              <w:rPr>
                <w:rFonts w:hint="eastAsia" w:ascii="宋体" w:hAnsi="宋体" w:eastAsia="宋体" w:cs="宋体"/>
                <w:color w:val="auto"/>
                <w:kern w:val="2"/>
                <w:sz w:val="21"/>
                <w:szCs w:val="21"/>
                <w:highlight w:val="none"/>
                <w:shd w:val="clear" w:color="auto" w:fill="auto"/>
                <w:lang w:val="en-US" w:eastAsia="zh-CN" w:bidi="ar-SA"/>
              </w:rPr>
              <w:t>、有效</w:t>
            </w:r>
            <w:r>
              <w:rPr>
                <w:rFonts w:hint="eastAsia" w:ascii="宋体" w:hAnsi="宋体" w:cs="宋体"/>
                <w:color w:val="auto"/>
                <w:kern w:val="2"/>
                <w:sz w:val="21"/>
                <w:szCs w:val="21"/>
                <w:highlight w:val="none"/>
                <w:shd w:val="clear" w:color="auto" w:fill="auto"/>
                <w:lang w:val="en-US" w:eastAsia="zh-CN" w:bidi="ar-SA"/>
              </w:rPr>
              <w:t>，</w:t>
            </w:r>
            <w:r>
              <w:rPr>
                <w:rFonts w:hint="eastAsia" w:ascii="宋体" w:hAnsi="宋体" w:eastAsia="宋体" w:cs="宋体"/>
                <w:color w:val="auto"/>
                <w:kern w:val="2"/>
                <w:sz w:val="21"/>
                <w:szCs w:val="21"/>
                <w:highlight w:val="none"/>
                <w:shd w:val="clear" w:color="auto" w:fill="auto"/>
                <w:lang w:val="en-US" w:eastAsia="zh-CN" w:bidi="ar-SA"/>
              </w:rPr>
              <w:t>对隐蔽、防水工程等提出的质量保证措施具体、可行</w:t>
            </w:r>
            <w:r>
              <w:rPr>
                <w:rFonts w:hint="eastAsia" w:ascii="宋体" w:hAnsi="宋体" w:cs="宋体"/>
                <w:color w:val="auto"/>
                <w:kern w:val="2"/>
                <w:sz w:val="21"/>
                <w:szCs w:val="21"/>
                <w:highlight w:val="none"/>
                <w:shd w:val="clear" w:color="auto" w:fill="auto"/>
                <w:lang w:val="en-US" w:eastAsia="zh-CN" w:bidi="ar-SA"/>
              </w:rPr>
              <w:t>。</w:t>
            </w:r>
            <w:r>
              <w:rPr>
                <w:rFonts w:hint="eastAsia" w:ascii="宋体" w:hAnsi="宋体" w:eastAsia="宋体" w:cs="宋体"/>
                <w:color w:val="auto"/>
                <w:kern w:val="2"/>
                <w:sz w:val="21"/>
                <w:szCs w:val="21"/>
                <w:highlight w:val="none"/>
                <w:shd w:val="clear" w:color="auto" w:fill="auto"/>
                <w:lang w:val="en-US" w:eastAsia="zh-CN" w:bidi="ar-SA"/>
              </w:rPr>
              <w:t>符合本项目要求为合格，否则直接废标。</w:t>
            </w:r>
          </w:p>
        </w:tc>
      </w:tr>
      <w:tr w14:paraId="1ED938E5">
        <w:tblPrEx>
          <w:tblCellMar>
            <w:top w:w="0" w:type="dxa"/>
            <w:left w:w="108" w:type="dxa"/>
            <w:bottom w:w="0" w:type="dxa"/>
            <w:right w:w="108" w:type="dxa"/>
          </w:tblCellMar>
        </w:tblPrEx>
        <w:trPr>
          <w:trHeight w:val="1080" w:hRule="atLeast"/>
        </w:trPr>
        <w:tc>
          <w:tcPr>
            <w:tcW w:w="895" w:type="dxa"/>
            <w:vMerge w:val="continue"/>
            <w:tcBorders>
              <w:top w:val="single" w:color="000000" w:sz="4" w:space="0"/>
              <w:left w:val="single" w:color="000000" w:sz="4" w:space="0"/>
              <w:bottom w:val="single" w:color="000000" w:sz="4" w:space="0"/>
              <w:right w:val="single" w:color="000000" w:sz="4" w:space="0"/>
            </w:tcBorders>
            <w:vAlign w:val="center"/>
          </w:tcPr>
          <w:p w14:paraId="7588F262">
            <w:pPr>
              <w:keepNext w:val="0"/>
              <w:keepLines w:val="0"/>
              <w:pageBreakBefore w:val="0"/>
              <w:kinsoku/>
              <w:wordWrap/>
              <w:overflowPunct/>
              <w:topLinePunct w:val="0"/>
              <w:autoSpaceDE/>
              <w:autoSpaceDN/>
              <w:bidi w:val="0"/>
              <w:adjustRightInd/>
              <w:snapToGrid/>
              <w:spacing w:line="240" w:lineRule="auto"/>
              <w:jc w:val="center"/>
              <w:rPr>
                <w:rFonts w:ascii="宋体" w:hAnsi="宋体" w:cs="宋体"/>
                <w:b/>
                <w:bCs/>
                <w:color w:val="auto"/>
                <w:sz w:val="21"/>
                <w:szCs w:val="21"/>
                <w:highlight w:val="none"/>
              </w:rPr>
            </w:pPr>
          </w:p>
        </w:tc>
        <w:tc>
          <w:tcPr>
            <w:tcW w:w="2438" w:type="dxa"/>
            <w:tcBorders>
              <w:top w:val="single" w:color="auto" w:sz="4" w:space="0"/>
              <w:left w:val="single" w:color="000000" w:sz="4" w:space="0"/>
              <w:bottom w:val="single" w:color="auto" w:sz="4" w:space="0"/>
              <w:right w:val="single" w:color="000000" w:sz="4" w:space="0"/>
            </w:tcBorders>
            <w:vAlign w:val="center"/>
          </w:tcPr>
          <w:p w14:paraId="79AAE20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安全管理体系与措施</w:t>
            </w:r>
          </w:p>
          <w:p w14:paraId="33CE399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cs="宋体"/>
                <w:color w:val="auto"/>
                <w:kern w:val="0"/>
                <w:sz w:val="21"/>
                <w:szCs w:val="21"/>
                <w:highlight w:val="none"/>
                <w:lang w:bidi="ar"/>
              </w:rPr>
            </w:pPr>
          </w:p>
        </w:tc>
        <w:tc>
          <w:tcPr>
            <w:tcW w:w="5613" w:type="dxa"/>
            <w:tcBorders>
              <w:top w:val="single" w:color="000000" w:sz="4" w:space="0"/>
              <w:left w:val="single" w:color="000000" w:sz="4" w:space="0"/>
              <w:bottom w:val="single" w:color="000000" w:sz="4" w:space="0"/>
              <w:right w:val="single" w:color="000000" w:sz="4" w:space="0"/>
            </w:tcBorders>
            <w:vAlign w:val="center"/>
          </w:tcPr>
          <w:p w14:paraId="4AE58CC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auto"/>
                <w:sz w:val="21"/>
                <w:szCs w:val="21"/>
                <w:highlight w:val="none"/>
              </w:rPr>
            </w:pPr>
            <w:r>
              <w:rPr>
                <w:rFonts w:hint="eastAsia" w:ascii="宋体" w:hAnsi="宋体" w:eastAsia="宋体" w:cs="宋体"/>
                <w:color w:val="auto"/>
                <w:sz w:val="21"/>
                <w:szCs w:val="21"/>
                <w:highlight w:val="none"/>
                <w:shd w:val="clear" w:color="auto" w:fill="auto"/>
                <w:lang w:val="en-US" w:eastAsia="zh-CN"/>
              </w:rPr>
              <w:t>包括但不限于①</w:t>
            </w:r>
            <w:r>
              <w:rPr>
                <w:rFonts w:hint="eastAsia" w:ascii="宋体" w:hAnsi="宋体" w:eastAsia="宋体" w:cs="宋体"/>
                <w:color w:val="auto"/>
                <w:sz w:val="21"/>
                <w:szCs w:val="21"/>
                <w:highlight w:val="none"/>
                <w:shd w:val="clear" w:color="auto" w:fill="auto"/>
              </w:rPr>
              <w:t>安全管理目标明确，满足</w:t>
            </w:r>
            <w:r>
              <w:rPr>
                <w:rFonts w:hint="eastAsia" w:ascii="宋体" w:hAnsi="宋体" w:cs="宋体"/>
                <w:color w:val="auto"/>
                <w:sz w:val="21"/>
                <w:szCs w:val="21"/>
                <w:highlight w:val="none"/>
                <w:shd w:val="clear" w:color="auto" w:fill="auto"/>
                <w:lang w:val="en-US" w:eastAsia="zh-CN"/>
              </w:rPr>
              <w:t>竞争性谈判</w:t>
            </w:r>
            <w:r>
              <w:rPr>
                <w:rFonts w:hint="eastAsia" w:ascii="宋体" w:hAnsi="宋体" w:eastAsia="宋体" w:cs="宋体"/>
                <w:color w:val="auto"/>
                <w:sz w:val="21"/>
                <w:szCs w:val="21"/>
                <w:highlight w:val="none"/>
                <w:shd w:val="clear" w:color="auto" w:fill="auto"/>
              </w:rPr>
              <w:t>文件的要求；</w:t>
            </w:r>
            <w:r>
              <w:rPr>
                <w:rFonts w:hint="eastAsia" w:ascii="宋体" w:hAnsi="宋体" w:eastAsia="宋体" w:cs="宋体"/>
                <w:color w:val="auto"/>
                <w:sz w:val="21"/>
                <w:szCs w:val="21"/>
                <w:highlight w:val="none"/>
                <w:shd w:val="clear" w:color="auto" w:fill="auto"/>
                <w:lang w:val="en-US" w:eastAsia="zh-CN"/>
              </w:rPr>
              <w:t>②</w:t>
            </w:r>
            <w:r>
              <w:rPr>
                <w:rFonts w:hint="eastAsia" w:ascii="宋体" w:hAnsi="宋体" w:eastAsia="宋体" w:cs="宋体"/>
                <w:color w:val="auto"/>
                <w:sz w:val="21"/>
                <w:szCs w:val="21"/>
                <w:highlight w:val="none"/>
                <w:shd w:val="clear" w:color="auto" w:fill="auto"/>
              </w:rPr>
              <w:t>管理机构健全，</w:t>
            </w:r>
            <w:r>
              <w:rPr>
                <w:rFonts w:hint="eastAsia" w:ascii="宋体" w:hAnsi="宋体" w:eastAsia="宋体" w:cs="宋体"/>
                <w:color w:val="auto"/>
                <w:sz w:val="21"/>
                <w:szCs w:val="21"/>
                <w:highlight w:val="none"/>
                <w:shd w:val="clear" w:color="auto" w:fill="auto"/>
                <w:lang w:val="en-US" w:eastAsia="zh-CN"/>
              </w:rPr>
              <w:t>职责分工明确；③管理制度齐全；④实施与监控措施全面、有效，风险防控预防和应急处置措施得力、有操作性、针对性</w:t>
            </w:r>
            <w:r>
              <w:rPr>
                <w:rFonts w:hint="eastAsia" w:ascii="宋体" w:hAnsi="宋体" w:cs="宋体"/>
                <w:color w:val="auto"/>
                <w:sz w:val="21"/>
                <w:szCs w:val="21"/>
                <w:highlight w:val="none"/>
                <w:shd w:val="clear" w:color="auto" w:fill="auto"/>
                <w:lang w:val="en-US" w:eastAsia="zh-CN"/>
              </w:rPr>
              <w:t>。</w:t>
            </w:r>
            <w:r>
              <w:rPr>
                <w:rFonts w:hint="eastAsia" w:ascii="宋体" w:hAnsi="宋体" w:eastAsia="宋体" w:cs="宋体"/>
                <w:color w:val="auto"/>
                <w:kern w:val="2"/>
                <w:sz w:val="21"/>
                <w:szCs w:val="21"/>
                <w:highlight w:val="none"/>
                <w:shd w:val="clear" w:color="auto" w:fill="auto"/>
                <w:lang w:val="en-US" w:eastAsia="zh-CN" w:bidi="ar-SA"/>
              </w:rPr>
              <w:t>符合本项目要求为合格，否则直接废标。</w:t>
            </w:r>
          </w:p>
        </w:tc>
      </w:tr>
      <w:tr w14:paraId="38E44DC1">
        <w:tblPrEx>
          <w:tblCellMar>
            <w:top w:w="0" w:type="dxa"/>
            <w:left w:w="108" w:type="dxa"/>
            <w:bottom w:w="0" w:type="dxa"/>
            <w:right w:w="108" w:type="dxa"/>
          </w:tblCellMar>
        </w:tblPrEx>
        <w:trPr>
          <w:trHeight w:val="1080" w:hRule="atLeast"/>
        </w:trPr>
        <w:tc>
          <w:tcPr>
            <w:tcW w:w="895" w:type="dxa"/>
            <w:vMerge w:val="continue"/>
            <w:tcBorders>
              <w:top w:val="single" w:color="000000" w:sz="4" w:space="0"/>
              <w:left w:val="single" w:color="000000" w:sz="4" w:space="0"/>
              <w:bottom w:val="single" w:color="000000" w:sz="4" w:space="0"/>
              <w:right w:val="single" w:color="000000" w:sz="4" w:space="0"/>
            </w:tcBorders>
            <w:vAlign w:val="center"/>
          </w:tcPr>
          <w:p w14:paraId="68ACB0E0">
            <w:pPr>
              <w:keepNext w:val="0"/>
              <w:keepLines w:val="0"/>
              <w:pageBreakBefore w:val="0"/>
              <w:kinsoku/>
              <w:wordWrap/>
              <w:overflowPunct/>
              <w:topLinePunct w:val="0"/>
              <w:autoSpaceDE/>
              <w:autoSpaceDN/>
              <w:bidi w:val="0"/>
              <w:adjustRightInd/>
              <w:snapToGrid/>
              <w:spacing w:line="240" w:lineRule="auto"/>
              <w:jc w:val="center"/>
              <w:rPr>
                <w:rFonts w:ascii="宋体" w:hAnsi="宋体" w:cs="宋体"/>
                <w:b/>
                <w:bCs/>
                <w:color w:val="auto"/>
                <w:sz w:val="21"/>
                <w:szCs w:val="21"/>
                <w:highlight w:val="none"/>
              </w:rPr>
            </w:pPr>
          </w:p>
        </w:tc>
        <w:tc>
          <w:tcPr>
            <w:tcW w:w="2438" w:type="dxa"/>
            <w:tcBorders>
              <w:top w:val="single" w:color="auto" w:sz="4" w:space="0"/>
              <w:left w:val="single" w:color="000000" w:sz="4" w:space="0"/>
              <w:bottom w:val="single" w:color="auto" w:sz="4" w:space="0"/>
              <w:right w:val="single" w:color="000000" w:sz="4" w:space="0"/>
            </w:tcBorders>
            <w:vAlign w:val="center"/>
          </w:tcPr>
          <w:p w14:paraId="008D4FF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环境保护管理体系与</w:t>
            </w:r>
          </w:p>
        </w:tc>
        <w:tc>
          <w:tcPr>
            <w:tcW w:w="5613" w:type="dxa"/>
            <w:tcBorders>
              <w:top w:val="single" w:color="000000" w:sz="4" w:space="0"/>
              <w:left w:val="single" w:color="000000" w:sz="4" w:space="0"/>
              <w:bottom w:val="single" w:color="000000" w:sz="4" w:space="0"/>
              <w:right w:val="single" w:color="000000" w:sz="4" w:space="0"/>
            </w:tcBorders>
            <w:vAlign w:val="center"/>
          </w:tcPr>
          <w:p w14:paraId="2BB3FD8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hAnsi="宋体" w:cs="宋体"/>
                <w:color w:val="auto"/>
                <w:kern w:val="0"/>
                <w:sz w:val="21"/>
                <w:szCs w:val="21"/>
                <w:highlight w:val="none"/>
                <w:lang w:bidi="ar"/>
              </w:rPr>
            </w:pPr>
            <w:r>
              <w:rPr>
                <w:rFonts w:hint="eastAsia" w:ascii="宋体" w:hAnsi="宋体" w:cs="宋体"/>
                <w:color w:val="auto"/>
                <w:sz w:val="21"/>
                <w:szCs w:val="21"/>
                <w:highlight w:val="none"/>
              </w:rPr>
              <w:t>依据项目实地情况，分析符合实际，</w:t>
            </w:r>
            <w:r>
              <w:rPr>
                <w:rFonts w:hint="eastAsia" w:ascii="宋体" w:hAnsi="宋体" w:eastAsia="宋体" w:cs="宋体"/>
                <w:color w:val="auto"/>
                <w:sz w:val="21"/>
                <w:szCs w:val="21"/>
                <w:highlight w:val="none"/>
                <w:shd w:val="clear" w:color="auto" w:fill="auto"/>
                <w:lang w:val="en-US" w:eastAsia="zh-CN"/>
              </w:rPr>
              <w:t>包括但不限于①</w:t>
            </w:r>
            <w:r>
              <w:rPr>
                <w:rFonts w:hint="eastAsia" w:ascii="宋体" w:hAnsi="宋体" w:cs="宋体"/>
                <w:color w:val="auto"/>
                <w:sz w:val="21"/>
                <w:szCs w:val="21"/>
                <w:highlight w:val="none"/>
              </w:rPr>
              <w:t>噪音控制</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shd w:val="clear" w:color="auto" w:fill="auto"/>
                <w:lang w:val="en-US" w:eastAsia="zh-CN"/>
              </w:rPr>
              <w:t>②</w:t>
            </w:r>
            <w:r>
              <w:rPr>
                <w:rFonts w:hint="eastAsia" w:ascii="宋体" w:hAnsi="宋体" w:cs="宋体"/>
                <w:color w:val="auto"/>
                <w:sz w:val="21"/>
                <w:szCs w:val="21"/>
                <w:highlight w:val="none"/>
              </w:rPr>
              <w:t>污水控制</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shd w:val="clear" w:color="auto" w:fill="auto"/>
                <w:lang w:val="en-US" w:eastAsia="zh-CN"/>
              </w:rPr>
              <w:t>③</w:t>
            </w:r>
            <w:r>
              <w:rPr>
                <w:rFonts w:hint="eastAsia" w:ascii="宋体" w:hAnsi="宋体" w:cs="宋体"/>
                <w:color w:val="auto"/>
                <w:sz w:val="21"/>
                <w:szCs w:val="21"/>
                <w:highlight w:val="none"/>
              </w:rPr>
              <w:t>扬尘控制</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shd w:val="clear" w:color="auto" w:fill="auto"/>
                <w:lang w:val="en-US" w:eastAsia="zh-CN"/>
              </w:rPr>
              <w:t>④</w:t>
            </w:r>
            <w:r>
              <w:rPr>
                <w:rFonts w:hint="eastAsia" w:ascii="宋体" w:hAnsi="宋体" w:cs="宋体"/>
                <w:color w:val="auto"/>
                <w:sz w:val="21"/>
                <w:szCs w:val="21"/>
                <w:highlight w:val="none"/>
              </w:rPr>
              <w:t>材料堆放等符合法律规定和采购要求的</w:t>
            </w:r>
            <w:r>
              <w:rPr>
                <w:rFonts w:hint="eastAsia" w:ascii="宋体" w:hAnsi="宋体" w:eastAsia="宋体" w:cs="宋体"/>
                <w:color w:val="auto"/>
                <w:kern w:val="2"/>
                <w:sz w:val="21"/>
                <w:szCs w:val="21"/>
                <w:highlight w:val="none"/>
                <w:shd w:val="clear" w:color="auto" w:fill="auto"/>
                <w:lang w:val="en-US" w:eastAsia="zh-CN" w:bidi="ar-SA"/>
              </w:rPr>
              <w:t>。符合本项目要求为合格，否则直接废标。</w:t>
            </w:r>
          </w:p>
        </w:tc>
      </w:tr>
      <w:tr w14:paraId="745BA29C">
        <w:tblPrEx>
          <w:tblCellMar>
            <w:top w:w="0" w:type="dxa"/>
            <w:left w:w="108" w:type="dxa"/>
            <w:bottom w:w="0" w:type="dxa"/>
            <w:right w:w="108" w:type="dxa"/>
          </w:tblCellMar>
        </w:tblPrEx>
        <w:trPr>
          <w:trHeight w:val="470" w:hRule="atLeast"/>
        </w:trPr>
        <w:tc>
          <w:tcPr>
            <w:tcW w:w="895" w:type="dxa"/>
            <w:vMerge w:val="continue"/>
            <w:tcBorders>
              <w:top w:val="single" w:color="000000" w:sz="4" w:space="0"/>
              <w:left w:val="single" w:color="000000" w:sz="4" w:space="0"/>
              <w:bottom w:val="single" w:color="000000" w:sz="4" w:space="0"/>
              <w:right w:val="single" w:color="000000" w:sz="4" w:space="0"/>
            </w:tcBorders>
            <w:vAlign w:val="center"/>
          </w:tcPr>
          <w:p w14:paraId="517117BB">
            <w:pPr>
              <w:keepNext w:val="0"/>
              <w:keepLines w:val="0"/>
              <w:pageBreakBefore w:val="0"/>
              <w:kinsoku/>
              <w:wordWrap/>
              <w:overflowPunct/>
              <w:topLinePunct w:val="0"/>
              <w:autoSpaceDE/>
              <w:autoSpaceDN/>
              <w:bidi w:val="0"/>
              <w:adjustRightInd/>
              <w:snapToGrid/>
              <w:spacing w:line="240" w:lineRule="auto"/>
              <w:jc w:val="center"/>
              <w:rPr>
                <w:rFonts w:ascii="宋体" w:hAnsi="宋体" w:cs="宋体"/>
                <w:b/>
                <w:bCs/>
                <w:color w:val="auto"/>
                <w:sz w:val="21"/>
                <w:szCs w:val="21"/>
                <w:highlight w:val="none"/>
              </w:rPr>
            </w:pPr>
          </w:p>
        </w:tc>
        <w:tc>
          <w:tcPr>
            <w:tcW w:w="2438" w:type="dxa"/>
            <w:tcBorders>
              <w:top w:val="single" w:color="auto" w:sz="4" w:space="0"/>
              <w:left w:val="single" w:color="000000" w:sz="4" w:space="0"/>
              <w:bottom w:val="single" w:color="auto" w:sz="4" w:space="0"/>
              <w:right w:val="single" w:color="000000" w:sz="4" w:space="0"/>
            </w:tcBorders>
            <w:vAlign w:val="center"/>
          </w:tcPr>
          <w:p w14:paraId="5E9D821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工程进度计划与保证措</w:t>
            </w:r>
          </w:p>
        </w:tc>
        <w:tc>
          <w:tcPr>
            <w:tcW w:w="5613" w:type="dxa"/>
            <w:tcBorders>
              <w:top w:val="single" w:color="000000" w:sz="4" w:space="0"/>
              <w:left w:val="single" w:color="000000" w:sz="4" w:space="0"/>
              <w:bottom w:val="single" w:color="000000" w:sz="4" w:space="0"/>
              <w:right w:val="single" w:color="000000" w:sz="4" w:space="0"/>
            </w:tcBorders>
            <w:vAlign w:val="center"/>
          </w:tcPr>
          <w:p w14:paraId="5CEE2341">
            <w:pPr>
              <w:pStyle w:val="10"/>
              <w:keepNext w:val="0"/>
              <w:keepLines w:val="0"/>
              <w:pageBreakBefore w:val="0"/>
              <w:kinsoku/>
              <w:wordWrap/>
              <w:overflowPunct/>
              <w:topLinePunct w:val="0"/>
              <w:autoSpaceDE/>
              <w:autoSpaceDN/>
              <w:bidi w:val="0"/>
              <w:adjustRightInd/>
              <w:snapToGrid/>
              <w:spacing w:line="240" w:lineRule="auto"/>
              <w:rPr>
                <w:rFonts w:ascii="宋体" w:hAnsi="宋体" w:cs="宋体"/>
                <w:color w:val="auto"/>
                <w:kern w:val="0"/>
                <w:sz w:val="21"/>
                <w:szCs w:val="21"/>
                <w:highlight w:val="none"/>
                <w:lang w:bidi="ar"/>
              </w:rPr>
            </w:pPr>
            <w:r>
              <w:rPr>
                <w:rFonts w:hint="eastAsia" w:ascii="宋体" w:hAnsi="宋体" w:cs="宋体"/>
                <w:color w:val="auto"/>
                <w:sz w:val="21"/>
                <w:szCs w:val="21"/>
                <w:highlight w:val="none"/>
              </w:rPr>
              <w:t>依据项目实地情况，</w:t>
            </w:r>
            <w:r>
              <w:rPr>
                <w:rFonts w:hint="eastAsia" w:ascii="宋体" w:hAnsi="宋体" w:eastAsia="宋体" w:cs="宋体"/>
                <w:color w:val="auto"/>
                <w:sz w:val="21"/>
                <w:szCs w:val="21"/>
                <w:highlight w:val="none"/>
                <w:shd w:val="clear" w:color="auto" w:fill="auto"/>
                <w:lang w:val="en-US" w:eastAsia="zh-CN"/>
              </w:rPr>
              <w:t>包括但不限于①</w:t>
            </w:r>
            <w:r>
              <w:rPr>
                <w:rFonts w:hint="eastAsia" w:ascii="宋体" w:hAnsi="宋体" w:cs="宋体"/>
                <w:color w:val="auto"/>
                <w:sz w:val="21"/>
                <w:szCs w:val="21"/>
                <w:highlight w:val="none"/>
              </w:rPr>
              <w:t>项目特点</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shd w:val="clear" w:color="auto" w:fill="auto"/>
                <w:lang w:val="en-US" w:eastAsia="zh-CN"/>
              </w:rPr>
              <w:t>②</w:t>
            </w:r>
            <w:r>
              <w:rPr>
                <w:rFonts w:hint="eastAsia" w:ascii="宋体" w:hAnsi="宋体" w:cs="宋体"/>
                <w:color w:val="auto"/>
                <w:sz w:val="21"/>
                <w:szCs w:val="21"/>
                <w:highlight w:val="none"/>
              </w:rPr>
              <w:t>关键线路</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shd w:val="clear" w:color="auto" w:fill="auto"/>
                <w:lang w:val="en-US" w:eastAsia="zh-CN"/>
              </w:rPr>
              <w:t>③</w:t>
            </w:r>
            <w:r>
              <w:rPr>
                <w:rFonts w:hint="eastAsia" w:ascii="宋体" w:hAnsi="宋体" w:cs="宋体"/>
                <w:color w:val="auto"/>
                <w:sz w:val="21"/>
                <w:szCs w:val="21"/>
                <w:highlight w:val="none"/>
              </w:rPr>
              <w:t>控制性工程的分析全面合理</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shd w:val="clear" w:color="auto" w:fill="auto"/>
                <w:lang w:val="en-US" w:eastAsia="zh-CN"/>
              </w:rPr>
              <w:t>④</w:t>
            </w:r>
            <w:r>
              <w:rPr>
                <w:rFonts w:hint="eastAsia" w:ascii="宋体" w:hAnsi="宋体" w:cs="宋体"/>
                <w:color w:val="auto"/>
                <w:sz w:val="21"/>
                <w:szCs w:val="21"/>
                <w:highlight w:val="none"/>
              </w:rPr>
              <w:t>提出的工程进度计划符合采购人工期要求且</w:t>
            </w:r>
            <w:r>
              <w:rPr>
                <w:rFonts w:hint="eastAsia" w:ascii="宋体" w:hAnsi="宋体" w:eastAsia="宋体" w:cs="宋体"/>
                <w:color w:val="auto"/>
                <w:sz w:val="21"/>
                <w:szCs w:val="21"/>
                <w:highlight w:val="none"/>
              </w:rPr>
              <w:t>保证措施得力</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kern w:val="2"/>
                <w:sz w:val="21"/>
                <w:szCs w:val="21"/>
                <w:highlight w:val="none"/>
                <w:shd w:val="clear" w:color="auto" w:fill="auto"/>
                <w:lang w:val="en-US" w:eastAsia="zh-CN" w:bidi="ar-SA"/>
              </w:rPr>
              <w:t>符合本项目要求为合格，否则直接废标。</w:t>
            </w:r>
          </w:p>
        </w:tc>
      </w:tr>
      <w:tr w14:paraId="02500A2C">
        <w:tblPrEx>
          <w:tblCellMar>
            <w:top w:w="0" w:type="dxa"/>
            <w:left w:w="108" w:type="dxa"/>
            <w:bottom w:w="0" w:type="dxa"/>
            <w:right w:w="108" w:type="dxa"/>
          </w:tblCellMar>
        </w:tblPrEx>
        <w:trPr>
          <w:trHeight w:val="1080" w:hRule="atLeast"/>
        </w:trPr>
        <w:tc>
          <w:tcPr>
            <w:tcW w:w="895" w:type="dxa"/>
            <w:vMerge w:val="continue"/>
            <w:tcBorders>
              <w:top w:val="single" w:color="000000" w:sz="4" w:space="0"/>
              <w:left w:val="single" w:color="000000" w:sz="4" w:space="0"/>
              <w:bottom w:val="single" w:color="000000" w:sz="4" w:space="0"/>
              <w:right w:val="single" w:color="000000" w:sz="4" w:space="0"/>
            </w:tcBorders>
            <w:vAlign w:val="center"/>
          </w:tcPr>
          <w:p w14:paraId="301F5BF2">
            <w:pPr>
              <w:keepNext w:val="0"/>
              <w:keepLines w:val="0"/>
              <w:pageBreakBefore w:val="0"/>
              <w:kinsoku/>
              <w:wordWrap/>
              <w:overflowPunct/>
              <w:topLinePunct w:val="0"/>
              <w:autoSpaceDE/>
              <w:autoSpaceDN/>
              <w:bidi w:val="0"/>
              <w:adjustRightInd/>
              <w:snapToGrid/>
              <w:spacing w:line="240" w:lineRule="auto"/>
              <w:jc w:val="center"/>
              <w:rPr>
                <w:rFonts w:ascii="宋体" w:hAnsi="宋体" w:cs="宋体"/>
                <w:b/>
                <w:bCs/>
                <w:color w:val="auto"/>
                <w:sz w:val="21"/>
                <w:szCs w:val="21"/>
                <w:highlight w:val="none"/>
              </w:rPr>
            </w:pPr>
          </w:p>
        </w:tc>
        <w:tc>
          <w:tcPr>
            <w:tcW w:w="2438" w:type="dxa"/>
            <w:tcBorders>
              <w:top w:val="single" w:color="auto" w:sz="4" w:space="0"/>
              <w:left w:val="single" w:color="000000" w:sz="4" w:space="0"/>
              <w:bottom w:val="nil"/>
              <w:right w:val="single" w:color="000000" w:sz="4" w:space="0"/>
            </w:tcBorders>
            <w:vAlign w:val="center"/>
          </w:tcPr>
          <w:p w14:paraId="61FBDF7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资源配备计划</w:t>
            </w:r>
          </w:p>
          <w:p w14:paraId="1D6E9B3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cs="宋体"/>
                <w:color w:val="auto"/>
                <w:kern w:val="0"/>
                <w:sz w:val="21"/>
                <w:szCs w:val="21"/>
                <w:highlight w:val="none"/>
                <w:lang w:bidi="ar"/>
              </w:rPr>
            </w:pPr>
          </w:p>
        </w:tc>
        <w:tc>
          <w:tcPr>
            <w:tcW w:w="5613" w:type="dxa"/>
            <w:tcBorders>
              <w:top w:val="single" w:color="000000" w:sz="4" w:space="0"/>
              <w:left w:val="single" w:color="000000" w:sz="4" w:space="0"/>
              <w:bottom w:val="single" w:color="000000" w:sz="4" w:space="0"/>
              <w:right w:val="single" w:color="000000" w:sz="4" w:space="0"/>
            </w:tcBorders>
            <w:vAlign w:val="center"/>
          </w:tcPr>
          <w:p w14:paraId="14BADB85">
            <w:pPr>
              <w:pStyle w:val="10"/>
              <w:keepNext w:val="0"/>
              <w:keepLines w:val="0"/>
              <w:pageBreakBefore w:val="0"/>
              <w:kinsoku/>
              <w:wordWrap/>
              <w:overflowPunct/>
              <w:topLinePunct w:val="0"/>
              <w:autoSpaceDE/>
              <w:autoSpaceDN/>
              <w:bidi w:val="0"/>
              <w:adjustRightInd/>
              <w:snapToGrid/>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包括但不限于①</w:t>
            </w:r>
            <w:r>
              <w:rPr>
                <w:rFonts w:hint="eastAsia" w:ascii="宋体" w:hAnsi="宋体" w:cs="宋体"/>
                <w:color w:val="auto"/>
                <w:sz w:val="21"/>
                <w:szCs w:val="21"/>
                <w:highlight w:val="none"/>
              </w:rPr>
              <w:t>供应商拟投入本项目的机械设备材料及管理措施</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②</w:t>
            </w:r>
            <w:r>
              <w:rPr>
                <w:rFonts w:hint="eastAsia" w:ascii="宋体" w:hAnsi="宋体" w:cs="宋体"/>
                <w:color w:val="auto"/>
                <w:sz w:val="21"/>
                <w:szCs w:val="21"/>
                <w:highlight w:val="none"/>
              </w:rPr>
              <w:t>主要人员的专业、经验、职称等</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③应急调配措施</w:t>
            </w:r>
            <w:r>
              <w:rPr>
                <w:rFonts w:hint="eastAsia" w:ascii="宋体" w:hAnsi="宋体" w:cs="宋体"/>
                <w:color w:val="auto"/>
                <w:sz w:val="21"/>
                <w:szCs w:val="21"/>
                <w:highlight w:val="none"/>
              </w:rPr>
              <w:t>计划合理、满足施工需要</w:t>
            </w:r>
            <w:r>
              <w:rPr>
                <w:rFonts w:hint="eastAsia" w:ascii="宋体" w:hAnsi="宋体" w:cs="宋体"/>
                <w:color w:val="auto"/>
                <w:sz w:val="21"/>
                <w:szCs w:val="21"/>
                <w:highlight w:val="none"/>
                <w:lang w:val="en-US" w:eastAsia="zh-CN"/>
              </w:rPr>
              <w:t>。</w:t>
            </w:r>
            <w:r>
              <w:rPr>
                <w:rFonts w:hint="eastAsia" w:ascii="宋体" w:hAnsi="宋体" w:eastAsia="宋体" w:cs="宋体"/>
                <w:color w:val="auto"/>
                <w:kern w:val="2"/>
                <w:sz w:val="21"/>
                <w:szCs w:val="21"/>
                <w:highlight w:val="none"/>
                <w:shd w:val="clear" w:color="auto" w:fill="auto"/>
                <w:lang w:val="en-US" w:eastAsia="zh-CN" w:bidi="ar-SA"/>
              </w:rPr>
              <w:t>符合本项目要求为合格，否则直接废标。</w:t>
            </w:r>
          </w:p>
        </w:tc>
      </w:tr>
      <w:tr w14:paraId="02E0D934">
        <w:tblPrEx>
          <w:tblCellMar>
            <w:top w:w="0" w:type="dxa"/>
            <w:left w:w="108" w:type="dxa"/>
            <w:bottom w:w="0" w:type="dxa"/>
            <w:right w:w="108" w:type="dxa"/>
          </w:tblCellMar>
        </w:tblPrEx>
        <w:trPr>
          <w:trHeight w:val="884" w:hRule="atLeast"/>
        </w:trPr>
        <w:tc>
          <w:tcPr>
            <w:tcW w:w="895" w:type="dxa"/>
            <w:tcBorders>
              <w:top w:val="single" w:color="000000" w:sz="4" w:space="0"/>
              <w:left w:val="single" w:color="000000" w:sz="4" w:space="0"/>
              <w:right w:val="single" w:color="000000" w:sz="4" w:space="0"/>
            </w:tcBorders>
            <w:vAlign w:val="center"/>
          </w:tcPr>
          <w:p w14:paraId="09F2B23C">
            <w:pPr>
              <w:keepNext w:val="0"/>
              <w:keepLines w:val="0"/>
              <w:pageBreakBefore w:val="0"/>
              <w:kinsoku/>
              <w:wordWrap/>
              <w:overflowPunct/>
              <w:topLinePunct w:val="0"/>
              <w:autoSpaceDE/>
              <w:autoSpaceDN/>
              <w:bidi w:val="0"/>
              <w:adjustRightInd/>
              <w:snapToGrid/>
              <w:spacing w:line="240" w:lineRule="auto"/>
              <w:jc w:val="center"/>
              <w:rPr>
                <w:rFonts w:ascii="宋体" w:hAnsi="宋体" w:cs="宋体"/>
                <w:b/>
                <w:bCs/>
                <w:color w:val="auto"/>
                <w:sz w:val="21"/>
                <w:szCs w:val="21"/>
                <w:highlight w:val="none"/>
              </w:rPr>
            </w:pPr>
          </w:p>
        </w:tc>
        <w:tc>
          <w:tcPr>
            <w:tcW w:w="2438" w:type="dxa"/>
            <w:tcBorders>
              <w:top w:val="single" w:color="000000" w:sz="4" w:space="0"/>
              <w:left w:val="nil"/>
              <w:right w:val="single" w:color="000000" w:sz="4" w:space="0"/>
            </w:tcBorders>
            <w:vAlign w:val="center"/>
          </w:tcPr>
          <w:p w14:paraId="7C4DEE3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类似业绩</w:t>
            </w:r>
          </w:p>
        </w:tc>
        <w:tc>
          <w:tcPr>
            <w:tcW w:w="5613" w:type="dxa"/>
            <w:tcBorders>
              <w:top w:val="single" w:color="000000" w:sz="4" w:space="0"/>
              <w:left w:val="single" w:color="000000" w:sz="4" w:space="0"/>
              <w:bottom w:val="single" w:color="000000" w:sz="4" w:space="0"/>
              <w:right w:val="single" w:color="000000" w:sz="4" w:space="0"/>
            </w:tcBorders>
            <w:vAlign w:val="center"/>
          </w:tcPr>
          <w:p w14:paraId="0A9FD5ED">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1"/>
                <w:szCs w:val="21"/>
                <w:highlight w:val="none"/>
                <w:lang w:eastAsia="zh-CN" w:bidi="ar"/>
              </w:rPr>
            </w:pPr>
            <w:r>
              <w:rPr>
                <w:rFonts w:hint="eastAsia" w:ascii="宋体" w:hAnsi="宋体" w:cs="宋体"/>
                <w:color w:val="auto"/>
                <w:szCs w:val="21"/>
                <w:highlight w:val="none"/>
                <w:lang w:eastAsia="zh-CN"/>
              </w:rPr>
              <w:t>需提供</w:t>
            </w:r>
            <w:r>
              <w:rPr>
                <w:rFonts w:hint="eastAsia" w:ascii="宋体" w:hAnsi="宋体" w:cs="宋体"/>
                <w:color w:val="auto"/>
                <w:szCs w:val="21"/>
                <w:highlight w:val="none"/>
                <w:lang w:val="en-US" w:eastAsia="zh-CN"/>
              </w:rPr>
              <w:t>36个月内1个类似项目业绩</w:t>
            </w:r>
          </w:p>
        </w:tc>
      </w:tr>
      <w:tr w14:paraId="1387C553">
        <w:tblPrEx>
          <w:tblCellMar>
            <w:top w:w="0" w:type="dxa"/>
            <w:left w:w="108" w:type="dxa"/>
            <w:bottom w:w="0" w:type="dxa"/>
            <w:right w:w="108" w:type="dxa"/>
          </w:tblCellMar>
        </w:tblPrEx>
        <w:trPr>
          <w:trHeight w:val="884" w:hRule="atLeast"/>
        </w:trPr>
        <w:tc>
          <w:tcPr>
            <w:tcW w:w="895" w:type="dxa"/>
            <w:tcBorders>
              <w:top w:val="single" w:color="000000" w:sz="4" w:space="0"/>
              <w:left w:val="single" w:color="000000" w:sz="4" w:space="0"/>
              <w:right w:val="single" w:color="000000" w:sz="4" w:space="0"/>
            </w:tcBorders>
            <w:vAlign w:val="center"/>
          </w:tcPr>
          <w:p w14:paraId="6A75B737">
            <w:pPr>
              <w:keepNext w:val="0"/>
              <w:keepLines w:val="0"/>
              <w:pageBreakBefore w:val="0"/>
              <w:kinsoku/>
              <w:wordWrap/>
              <w:overflowPunct/>
              <w:topLinePunct w:val="0"/>
              <w:autoSpaceDE/>
              <w:autoSpaceDN/>
              <w:bidi w:val="0"/>
              <w:adjustRightInd/>
              <w:snapToGrid/>
              <w:spacing w:line="240" w:lineRule="auto"/>
              <w:jc w:val="center"/>
              <w:rPr>
                <w:rFonts w:ascii="宋体" w:hAnsi="宋体" w:cs="宋体"/>
                <w:b/>
                <w:bCs/>
                <w:color w:val="auto"/>
                <w:sz w:val="21"/>
                <w:szCs w:val="21"/>
                <w:highlight w:val="none"/>
              </w:rPr>
            </w:pPr>
          </w:p>
        </w:tc>
        <w:tc>
          <w:tcPr>
            <w:tcW w:w="2438" w:type="dxa"/>
            <w:tcBorders>
              <w:top w:val="single" w:color="000000" w:sz="4" w:space="0"/>
              <w:left w:val="nil"/>
              <w:right w:val="single" w:color="000000" w:sz="4" w:space="0"/>
            </w:tcBorders>
            <w:vAlign w:val="center"/>
          </w:tcPr>
          <w:p w14:paraId="052E6C7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lang w:eastAsia="zh-CN" w:bidi="ar"/>
              </w:rPr>
            </w:pPr>
            <w:r>
              <w:rPr>
                <w:rFonts w:hint="eastAsia" w:ascii="宋体" w:hAnsi="宋体" w:cs="宋体"/>
                <w:color w:val="auto"/>
                <w:kern w:val="0"/>
                <w:sz w:val="21"/>
                <w:szCs w:val="21"/>
                <w:highlight w:val="none"/>
                <w:lang w:eastAsia="zh-CN" w:bidi="ar"/>
              </w:rPr>
              <w:t>其他废标条款</w:t>
            </w:r>
          </w:p>
        </w:tc>
        <w:tc>
          <w:tcPr>
            <w:tcW w:w="5613" w:type="dxa"/>
            <w:tcBorders>
              <w:top w:val="single" w:color="000000" w:sz="4" w:space="0"/>
              <w:left w:val="single" w:color="000000" w:sz="4" w:space="0"/>
              <w:bottom w:val="single" w:color="000000" w:sz="4" w:space="0"/>
              <w:right w:val="single" w:color="000000" w:sz="4" w:space="0"/>
            </w:tcBorders>
            <w:vAlign w:val="center"/>
          </w:tcPr>
          <w:p w14:paraId="5D116F24">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cs="宋体"/>
                <w:color w:val="auto"/>
                <w:szCs w:val="21"/>
                <w:highlight w:val="none"/>
                <w:lang w:eastAsia="zh-CN"/>
              </w:rPr>
            </w:pPr>
            <w:r>
              <w:rPr>
                <w:rFonts w:hint="eastAsia" w:ascii="宋体" w:hAnsi="宋体"/>
                <w:bCs/>
                <w:color w:val="auto"/>
                <w:szCs w:val="21"/>
                <w:highlight w:val="red"/>
                <w:lang w:val="en-US" w:eastAsia="zh-CN"/>
              </w:rPr>
              <w:t>评审小组认为</w:t>
            </w:r>
            <w:r>
              <w:rPr>
                <w:rFonts w:hint="eastAsia" w:ascii="宋体" w:hAnsi="宋体"/>
                <w:bCs/>
                <w:color w:val="auto"/>
                <w:szCs w:val="21"/>
                <w:highlight w:val="red"/>
              </w:rPr>
              <w:t>所有报价均显著高于市场合理水平或缺乏有效竞争</w:t>
            </w:r>
            <w:r>
              <w:rPr>
                <w:rFonts w:hint="eastAsia" w:ascii="宋体" w:hAnsi="宋体"/>
                <w:bCs/>
                <w:color w:val="auto"/>
                <w:szCs w:val="21"/>
                <w:highlight w:val="red"/>
                <w:lang w:val="en-US" w:eastAsia="zh-CN"/>
              </w:rPr>
              <w:t>,可</w:t>
            </w:r>
            <w:r>
              <w:rPr>
                <w:rFonts w:hint="eastAsia" w:ascii="宋体" w:hAnsi="宋体"/>
                <w:bCs/>
                <w:color w:val="auto"/>
                <w:szCs w:val="21"/>
                <w:highlight w:val="red"/>
              </w:rPr>
              <w:t>否决所有投标</w:t>
            </w:r>
            <w:r>
              <w:rPr>
                <w:rFonts w:hint="eastAsia" w:ascii="宋体" w:hAnsi="宋体"/>
                <w:bCs/>
                <w:color w:val="auto"/>
                <w:szCs w:val="21"/>
                <w:highlight w:val="red"/>
                <w:lang w:eastAsia="zh-CN"/>
              </w:rPr>
              <w:t>并</w:t>
            </w:r>
            <w:r>
              <w:rPr>
                <w:rFonts w:hint="eastAsia" w:ascii="宋体" w:hAnsi="宋体"/>
                <w:bCs/>
                <w:color w:val="auto"/>
                <w:szCs w:val="21"/>
                <w:highlight w:val="red"/>
              </w:rPr>
              <w:t>重新招标</w:t>
            </w:r>
          </w:p>
        </w:tc>
      </w:tr>
      <w:tr w14:paraId="46D95ECB">
        <w:tblPrEx>
          <w:tblCellMar>
            <w:top w:w="0" w:type="dxa"/>
            <w:left w:w="108" w:type="dxa"/>
            <w:bottom w:w="0" w:type="dxa"/>
            <w:right w:w="108" w:type="dxa"/>
          </w:tblCellMar>
        </w:tblPrEx>
        <w:trPr>
          <w:trHeight w:val="145" w:hRule="atLeast"/>
        </w:trPr>
        <w:tc>
          <w:tcPr>
            <w:tcW w:w="3333" w:type="dxa"/>
            <w:gridSpan w:val="2"/>
            <w:tcBorders>
              <w:top w:val="single" w:color="000000" w:sz="4" w:space="0"/>
              <w:left w:val="single" w:color="000000" w:sz="4" w:space="0"/>
              <w:bottom w:val="single" w:color="000000" w:sz="4" w:space="0"/>
              <w:right w:val="single" w:color="000000" w:sz="4" w:space="0"/>
            </w:tcBorders>
            <w:vAlign w:val="center"/>
          </w:tcPr>
          <w:p w14:paraId="28DFE2A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cs="宋体"/>
                <w:b/>
                <w:bCs/>
                <w:color w:val="auto"/>
                <w:sz w:val="21"/>
                <w:szCs w:val="21"/>
                <w:highlight w:val="none"/>
              </w:rPr>
            </w:pPr>
            <w:r>
              <w:rPr>
                <w:rFonts w:hint="eastAsia" w:ascii="宋体" w:hAnsi="宋体" w:cs="宋体"/>
                <w:b/>
                <w:bCs/>
                <w:color w:val="auto"/>
                <w:kern w:val="0"/>
                <w:sz w:val="21"/>
                <w:szCs w:val="21"/>
                <w:highlight w:val="none"/>
                <w:lang w:bidi="ar"/>
              </w:rPr>
              <w:t>报价部分</w:t>
            </w:r>
          </w:p>
        </w:tc>
        <w:tc>
          <w:tcPr>
            <w:tcW w:w="5613" w:type="dxa"/>
            <w:tcBorders>
              <w:top w:val="single" w:color="000000" w:sz="4" w:space="0"/>
              <w:left w:val="single" w:color="000000" w:sz="4" w:space="0"/>
              <w:bottom w:val="single" w:color="000000" w:sz="4" w:space="0"/>
              <w:right w:val="single" w:color="000000" w:sz="4" w:space="0"/>
            </w:tcBorders>
            <w:vAlign w:val="center"/>
          </w:tcPr>
          <w:p w14:paraId="2871B131">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以经评委会一致认定满足</w:t>
            </w:r>
            <w:r>
              <w:rPr>
                <w:rFonts w:hint="eastAsia" w:ascii="宋体" w:hAnsi="宋体" w:cs="宋体"/>
                <w:color w:val="auto"/>
                <w:kern w:val="0"/>
                <w:sz w:val="21"/>
                <w:szCs w:val="21"/>
                <w:highlight w:val="none"/>
                <w:lang w:eastAsia="zh-CN" w:bidi="ar"/>
              </w:rPr>
              <w:t>竞争性谈判</w:t>
            </w:r>
            <w:r>
              <w:rPr>
                <w:rFonts w:hint="eastAsia" w:ascii="宋体" w:hAnsi="宋体" w:cs="宋体"/>
                <w:color w:val="auto"/>
                <w:kern w:val="0"/>
                <w:sz w:val="21"/>
                <w:szCs w:val="21"/>
                <w:highlight w:val="none"/>
                <w:lang w:bidi="ar"/>
              </w:rPr>
              <w:t>文件要求且投标价格最低（以最后报价为准）的投标报价为评标基准价。</w:t>
            </w:r>
          </w:p>
          <w:p w14:paraId="0E97D038">
            <w:pPr>
              <w:keepNext w:val="0"/>
              <w:keepLines w:val="0"/>
              <w:pageBreakBefore w:val="0"/>
              <w:widowControl/>
              <w:kinsoku/>
              <w:wordWrap/>
              <w:overflowPunct/>
              <w:topLinePunct w:val="0"/>
              <w:autoSpaceDE/>
              <w:autoSpaceDN/>
              <w:bidi w:val="0"/>
              <w:adjustRightInd/>
              <w:snapToGrid/>
              <w:spacing w:line="240" w:lineRule="auto"/>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val="en-US" w:eastAsia="zh-CN" w:bidi="ar"/>
              </w:rPr>
              <w:t>1</w:t>
            </w:r>
            <w:r>
              <w:rPr>
                <w:rFonts w:hint="eastAsia" w:ascii="宋体" w:hAnsi="宋体" w:cs="宋体"/>
                <w:color w:val="auto"/>
                <w:kern w:val="0"/>
                <w:sz w:val="21"/>
                <w:szCs w:val="21"/>
                <w:highlight w:val="none"/>
                <w:lang w:bidi="ar"/>
              </w:rPr>
              <w:t>)评标委员会认为供应商的报价明显低于其他通过符合性审查供应商的报价，有可能不能诚信履约的，可要求其在评标现场合理的时间内提供书面说明，必要时提交相关证明材料；供应商不能证明其报价合理性的，评标委员会将其作为无效投标处理。</w:t>
            </w:r>
          </w:p>
        </w:tc>
      </w:tr>
    </w:tbl>
    <w:p w14:paraId="618F4120">
      <w:pPr>
        <w:pStyle w:val="7"/>
        <w:rPr>
          <w:color w:val="auto"/>
          <w:highlight w:val="none"/>
        </w:rPr>
      </w:pPr>
    </w:p>
    <w:p w14:paraId="031FFFBE">
      <w:pPr>
        <w:adjustRightInd w:val="0"/>
        <w:snapToGrid w:val="0"/>
        <w:spacing w:line="360" w:lineRule="auto"/>
        <w:jc w:val="center"/>
        <w:rPr>
          <w:rFonts w:ascii="黑体" w:eastAsia="黑体"/>
          <w:b/>
          <w:bCs/>
          <w:color w:val="auto"/>
          <w:sz w:val="28"/>
          <w:szCs w:val="28"/>
          <w:highlight w:val="none"/>
        </w:rPr>
      </w:pPr>
      <w:r>
        <w:rPr>
          <w:rFonts w:hint="eastAsia" w:ascii="黑体" w:eastAsia="黑体"/>
          <w:b/>
          <w:bCs/>
          <w:color w:val="auto"/>
          <w:sz w:val="28"/>
          <w:szCs w:val="28"/>
          <w:highlight w:val="none"/>
        </w:rPr>
        <w:t>评审办法正文</w:t>
      </w:r>
    </w:p>
    <w:p w14:paraId="73303442">
      <w:pPr>
        <w:keepNext w:val="0"/>
        <w:keepLines w:val="0"/>
        <w:pageBreakBefore w:val="0"/>
        <w:kinsoku/>
        <w:wordWrap/>
        <w:overflowPunct/>
        <w:topLinePunct w:val="0"/>
        <w:autoSpaceDE/>
        <w:autoSpaceDN/>
        <w:bidi w:val="0"/>
        <w:adjustRightInd w:val="0"/>
        <w:snapToGrid w:val="0"/>
        <w:spacing w:beforeLines="50" w:line="240" w:lineRule="auto"/>
        <w:textAlignment w:val="auto"/>
        <w:rPr>
          <w:rFonts w:ascii="宋体" w:hAnsi="宋体"/>
          <w:b/>
          <w:color w:val="auto"/>
          <w:szCs w:val="21"/>
          <w:highlight w:val="none"/>
        </w:rPr>
      </w:pPr>
      <w:r>
        <w:rPr>
          <w:rFonts w:hint="eastAsia" w:ascii="宋体" w:hAnsi="宋体"/>
          <w:b/>
          <w:bCs/>
          <w:color w:val="auto"/>
          <w:szCs w:val="21"/>
          <w:highlight w:val="none"/>
        </w:rPr>
        <w:t xml:space="preserve">一. </w:t>
      </w:r>
      <w:r>
        <w:rPr>
          <w:rFonts w:hint="eastAsia" w:ascii="宋体" w:hAnsi="宋体"/>
          <w:b/>
          <w:color w:val="auto"/>
          <w:szCs w:val="21"/>
          <w:highlight w:val="none"/>
        </w:rPr>
        <w:t>总则</w:t>
      </w:r>
    </w:p>
    <w:p w14:paraId="4983B9F9">
      <w:pPr>
        <w:keepNext w:val="0"/>
        <w:keepLines w:val="0"/>
        <w:pageBreakBefore w:val="0"/>
        <w:kinsoku/>
        <w:wordWrap/>
        <w:overflowPunct/>
        <w:topLinePunct w:val="0"/>
        <w:autoSpaceDE/>
        <w:autoSpaceDN/>
        <w:bidi w:val="0"/>
        <w:adjustRightInd w:val="0"/>
        <w:snapToGrid w:val="0"/>
        <w:spacing w:beforeLines="50" w:line="240" w:lineRule="auto"/>
        <w:textAlignment w:val="auto"/>
        <w:rPr>
          <w:rFonts w:ascii="宋体" w:hAnsi="宋体"/>
          <w:b/>
          <w:color w:val="auto"/>
          <w:szCs w:val="21"/>
          <w:highlight w:val="none"/>
        </w:rPr>
      </w:pPr>
      <w:r>
        <w:rPr>
          <w:rFonts w:hint="eastAsia" w:ascii="宋体" w:hAnsi="宋体"/>
          <w:b/>
          <w:color w:val="auto"/>
          <w:szCs w:val="21"/>
          <w:highlight w:val="none"/>
        </w:rPr>
        <w:t>1.1评审小组</w:t>
      </w:r>
    </w:p>
    <w:p w14:paraId="353AFD0A">
      <w:pPr>
        <w:keepNext w:val="0"/>
        <w:keepLines w:val="0"/>
        <w:pageBreakBefore w:val="0"/>
        <w:kinsoku/>
        <w:wordWrap/>
        <w:overflowPunct/>
        <w:topLinePunct w:val="0"/>
        <w:autoSpaceDE/>
        <w:autoSpaceDN/>
        <w:bidi w:val="0"/>
        <w:adjustRightInd w:val="0"/>
        <w:snapToGrid w:val="0"/>
        <w:spacing w:beforeLines="50" w:line="240" w:lineRule="auto"/>
        <w:ind w:firstLine="420" w:firstLineChars="200"/>
        <w:textAlignment w:val="auto"/>
        <w:rPr>
          <w:rFonts w:hint="eastAsia" w:ascii="宋体" w:hAnsi="宋体"/>
          <w:color w:val="auto"/>
          <w:szCs w:val="21"/>
          <w:highlight w:val="none"/>
        </w:rPr>
      </w:pPr>
      <w:r>
        <w:rPr>
          <w:rFonts w:hint="eastAsia" w:ascii="宋体" w:hAnsi="宋体" w:cs="宋体"/>
          <w:color w:val="FF0000"/>
          <w:szCs w:val="21"/>
          <w:highlight w:val="none"/>
          <w:lang w:eastAsia="zh-CN"/>
        </w:rPr>
        <w:t>当采购人选择最低价中标时，所有评选工作由评标小组选出，合规性检查无误后最终确认中标人</w:t>
      </w:r>
      <w:r>
        <w:rPr>
          <w:rFonts w:hint="eastAsia" w:ascii="宋体" w:hAnsi="宋体" w:cs="宋体"/>
          <w:color w:val="auto"/>
          <w:szCs w:val="21"/>
          <w:highlight w:val="none"/>
          <w:lang w:eastAsia="zh-CN"/>
        </w:rPr>
        <w:t>。综合评标法</w:t>
      </w:r>
      <w:r>
        <w:rPr>
          <w:rFonts w:hint="eastAsia" w:ascii="宋体" w:hAnsi="宋体" w:cs="宋体"/>
          <w:color w:val="auto"/>
          <w:szCs w:val="21"/>
          <w:highlight w:val="none"/>
        </w:rPr>
        <w:t>评审工作由采购人依法组建的评审小组负责</w:t>
      </w:r>
      <w:r>
        <w:rPr>
          <w:rFonts w:hint="eastAsia" w:ascii="宋体" w:hAnsi="宋体" w:cs="宋体"/>
          <w:color w:val="auto"/>
          <w:szCs w:val="21"/>
          <w:highlight w:val="none"/>
          <w:lang w:eastAsia="zh-CN"/>
        </w:rPr>
        <w:t>，评审小组由集团专家库或公司相关专业人员摇号组成评审小组，评审全过程受支部纪检委员监督。</w:t>
      </w:r>
    </w:p>
    <w:p w14:paraId="4F14F03A">
      <w:pPr>
        <w:keepNext w:val="0"/>
        <w:keepLines w:val="0"/>
        <w:pageBreakBefore w:val="0"/>
        <w:kinsoku/>
        <w:wordWrap/>
        <w:overflowPunct/>
        <w:topLinePunct w:val="0"/>
        <w:autoSpaceDE/>
        <w:autoSpaceDN/>
        <w:bidi w:val="0"/>
        <w:adjustRightInd w:val="0"/>
        <w:snapToGrid w:val="0"/>
        <w:spacing w:beforeLines="50" w:line="240" w:lineRule="auto"/>
        <w:textAlignment w:val="auto"/>
        <w:rPr>
          <w:rFonts w:ascii="宋体" w:hAnsi="宋体"/>
          <w:b/>
          <w:color w:val="auto"/>
          <w:szCs w:val="21"/>
          <w:highlight w:val="none"/>
        </w:rPr>
      </w:pPr>
      <w:r>
        <w:rPr>
          <w:rFonts w:hint="eastAsia" w:ascii="宋体" w:hAnsi="宋体"/>
          <w:b/>
          <w:bCs/>
          <w:color w:val="auto"/>
          <w:szCs w:val="21"/>
          <w:highlight w:val="none"/>
        </w:rPr>
        <w:t xml:space="preserve">1.2 </w:t>
      </w:r>
      <w:r>
        <w:rPr>
          <w:rFonts w:hint="eastAsia" w:ascii="宋体" w:hAnsi="宋体"/>
          <w:b/>
          <w:color w:val="auto"/>
          <w:szCs w:val="21"/>
          <w:highlight w:val="none"/>
        </w:rPr>
        <w:t>评审方法</w:t>
      </w:r>
    </w:p>
    <w:p w14:paraId="1893B3EE">
      <w:pPr>
        <w:keepNext w:val="0"/>
        <w:keepLines w:val="0"/>
        <w:pageBreakBefore w:val="0"/>
        <w:kinsoku/>
        <w:wordWrap/>
        <w:overflowPunct/>
        <w:topLinePunct w:val="0"/>
        <w:autoSpaceDE/>
        <w:autoSpaceDN/>
        <w:bidi w:val="0"/>
        <w:adjustRightInd w:val="0"/>
        <w:snapToGrid w:val="0"/>
        <w:spacing w:line="240" w:lineRule="auto"/>
        <w:ind w:firstLine="422" w:firstLineChars="200"/>
        <w:textAlignment w:val="auto"/>
        <w:rPr>
          <w:rFonts w:ascii="宋体" w:hAnsi="宋体" w:cs="宋体"/>
          <w:color w:val="auto"/>
          <w:szCs w:val="21"/>
          <w:highlight w:val="none"/>
        </w:rPr>
      </w:pPr>
      <w:r>
        <w:rPr>
          <w:rFonts w:hint="eastAsia" w:ascii="宋体" w:hAnsi="宋体"/>
          <w:b/>
          <w:bCs/>
          <w:color w:val="auto"/>
          <w:szCs w:val="21"/>
          <w:highlight w:val="none"/>
        </w:rPr>
        <w:t>1.2.1评审方法：</w:t>
      </w:r>
      <w:r>
        <w:rPr>
          <w:rFonts w:hint="eastAsia" w:ascii="宋体" w:hAnsi="宋体"/>
          <w:b/>
          <w:bCs/>
          <w:color w:val="auto"/>
          <w:szCs w:val="21"/>
          <w:highlight w:val="none"/>
          <w:lang w:eastAsia="zh-CN"/>
        </w:rPr>
        <w:t>最低价评标法</w:t>
      </w:r>
      <w:r>
        <w:rPr>
          <w:rFonts w:hint="eastAsia" w:ascii="宋体" w:hAnsi="宋体"/>
          <w:b/>
          <w:bCs/>
          <w:color w:val="auto"/>
          <w:szCs w:val="21"/>
          <w:highlight w:val="none"/>
        </w:rPr>
        <w:t>，</w:t>
      </w:r>
      <w:r>
        <w:rPr>
          <w:rFonts w:hint="eastAsia" w:ascii="宋体" w:hAnsi="宋体" w:cs="宋体"/>
          <w:b/>
          <w:bCs/>
          <w:color w:val="auto"/>
          <w:szCs w:val="21"/>
          <w:highlight w:val="none"/>
        </w:rPr>
        <w:t>指响应文件满足</w:t>
      </w:r>
      <w:r>
        <w:rPr>
          <w:rFonts w:hint="eastAsia" w:ascii="宋体" w:hAnsi="宋体" w:cs="宋体"/>
          <w:b/>
          <w:bCs/>
          <w:color w:val="auto"/>
          <w:szCs w:val="21"/>
          <w:highlight w:val="none"/>
          <w:lang w:eastAsia="zh-CN"/>
        </w:rPr>
        <w:t>采购</w:t>
      </w:r>
      <w:r>
        <w:rPr>
          <w:rFonts w:hint="eastAsia" w:ascii="宋体" w:hAnsi="宋体" w:cs="宋体"/>
          <w:b/>
          <w:bCs/>
          <w:color w:val="auto"/>
          <w:szCs w:val="21"/>
          <w:highlight w:val="none"/>
        </w:rPr>
        <w:t>文件全部实质性要求，且报价</w:t>
      </w:r>
      <w:r>
        <w:rPr>
          <w:rFonts w:hint="eastAsia" w:ascii="宋体" w:hAnsi="宋体" w:cs="宋体"/>
          <w:b/>
          <w:bCs/>
          <w:color w:val="auto"/>
          <w:szCs w:val="21"/>
          <w:highlight w:val="none"/>
          <w:lang w:eastAsia="zh-CN"/>
        </w:rPr>
        <w:t>最低</w:t>
      </w:r>
      <w:r>
        <w:rPr>
          <w:rFonts w:hint="eastAsia" w:ascii="宋体" w:hAnsi="宋体" w:cs="宋体"/>
          <w:b/>
          <w:bCs/>
          <w:color w:val="auto"/>
          <w:szCs w:val="21"/>
          <w:highlight w:val="none"/>
        </w:rPr>
        <w:t>的</w:t>
      </w: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为成交</w:t>
      </w: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候选人的评审方法</w:t>
      </w:r>
      <w:r>
        <w:rPr>
          <w:rFonts w:hint="eastAsia" w:ascii="宋体" w:hAnsi="宋体" w:cs="宋体"/>
          <w:color w:val="auto"/>
          <w:szCs w:val="21"/>
          <w:highlight w:val="none"/>
        </w:rPr>
        <w:t>。</w:t>
      </w:r>
    </w:p>
    <w:p w14:paraId="09AAED78">
      <w:pPr>
        <w:keepNext w:val="0"/>
        <w:keepLines w:val="0"/>
        <w:pageBreakBefore w:val="0"/>
        <w:tabs>
          <w:tab w:val="left" w:pos="0"/>
        </w:tabs>
        <w:kinsoku/>
        <w:wordWrap/>
        <w:overflowPunct/>
        <w:topLinePunct w:val="0"/>
        <w:autoSpaceDE/>
        <w:autoSpaceDN/>
        <w:bidi w:val="0"/>
        <w:adjustRightInd w:val="0"/>
        <w:snapToGrid w:val="0"/>
        <w:spacing w:beforeLines="50" w:line="240" w:lineRule="auto"/>
        <w:textAlignment w:val="auto"/>
        <w:rPr>
          <w:rFonts w:ascii="宋体" w:hAnsi="宋体"/>
          <w:b/>
          <w:color w:val="auto"/>
          <w:kern w:val="0"/>
          <w:szCs w:val="21"/>
          <w:highlight w:val="none"/>
        </w:rPr>
      </w:pPr>
      <w:r>
        <w:rPr>
          <w:rFonts w:hint="eastAsia" w:ascii="宋体" w:hAnsi="宋体"/>
          <w:b/>
          <w:color w:val="auto"/>
          <w:kern w:val="0"/>
          <w:szCs w:val="21"/>
          <w:highlight w:val="none"/>
        </w:rPr>
        <w:t>二. 评标程序</w:t>
      </w:r>
    </w:p>
    <w:p w14:paraId="4994C8FE">
      <w:pPr>
        <w:keepNext w:val="0"/>
        <w:keepLines w:val="0"/>
        <w:pageBreakBefore w:val="0"/>
        <w:kinsoku/>
        <w:wordWrap/>
        <w:overflowPunct/>
        <w:topLinePunct w:val="0"/>
        <w:autoSpaceDE/>
        <w:autoSpaceDN/>
        <w:bidi w:val="0"/>
        <w:adjustRightInd w:val="0"/>
        <w:snapToGrid w:val="0"/>
        <w:spacing w:beforeLines="50" w:line="240" w:lineRule="auto"/>
        <w:ind w:right="-109" w:rightChars="-52" w:firstLine="420" w:firstLineChars="200"/>
        <w:textAlignment w:val="auto"/>
        <w:rPr>
          <w:rFonts w:ascii="宋体" w:hAnsi="宋体"/>
          <w:b/>
          <w:color w:val="auto"/>
          <w:szCs w:val="21"/>
          <w:highlight w:val="none"/>
        </w:rPr>
      </w:pPr>
      <w:r>
        <w:rPr>
          <w:rFonts w:hint="eastAsia" w:ascii="宋体" w:hAnsi="宋体"/>
          <w:color w:val="auto"/>
          <w:kern w:val="0"/>
          <w:szCs w:val="21"/>
          <w:highlight w:val="none"/>
        </w:rPr>
        <w:t>评标程序分为响应文件初审、澄清有关问题、比较和评价、推荐成交供应商候选人名单</w:t>
      </w:r>
      <w:r>
        <w:rPr>
          <w:rFonts w:hint="eastAsia" w:ascii="宋体" w:hAnsi="宋体"/>
          <w:b/>
          <w:color w:val="auto"/>
          <w:szCs w:val="21"/>
          <w:highlight w:val="none"/>
        </w:rPr>
        <w:t>。</w:t>
      </w:r>
    </w:p>
    <w:p w14:paraId="46437715">
      <w:pPr>
        <w:keepNext w:val="0"/>
        <w:keepLines w:val="0"/>
        <w:pageBreakBefore w:val="0"/>
        <w:kinsoku/>
        <w:wordWrap/>
        <w:overflowPunct/>
        <w:topLinePunct w:val="0"/>
        <w:autoSpaceDE/>
        <w:autoSpaceDN/>
        <w:bidi w:val="0"/>
        <w:adjustRightInd w:val="0"/>
        <w:snapToGrid w:val="0"/>
        <w:spacing w:beforeLines="50" w:line="240" w:lineRule="auto"/>
        <w:ind w:right="-109" w:rightChars="-52"/>
        <w:textAlignment w:val="auto"/>
        <w:rPr>
          <w:rFonts w:ascii="宋体" w:hAnsi="宋体"/>
          <w:b/>
          <w:bCs/>
          <w:color w:val="auto"/>
          <w:szCs w:val="21"/>
          <w:highlight w:val="none"/>
        </w:rPr>
      </w:pPr>
      <w:r>
        <w:rPr>
          <w:rFonts w:hint="eastAsia" w:ascii="宋体" w:hAnsi="宋体"/>
          <w:b/>
          <w:bCs/>
          <w:color w:val="auto"/>
          <w:szCs w:val="21"/>
          <w:highlight w:val="none"/>
        </w:rPr>
        <w:t>2.1 响应文件的初步</w:t>
      </w:r>
      <w:r>
        <w:rPr>
          <w:rFonts w:hint="eastAsia" w:ascii="宋体" w:hAnsi="宋体"/>
          <w:b/>
          <w:color w:val="auto"/>
          <w:szCs w:val="21"/>
          <w:highlight w:val="none"/>
        </w:rPr>
        <w:t>评审</w:t>
      </w:r>
    </w:p>
    <w:p w14:paraId="5FBB84F0">
      <w:pPr>
        <w:keepNext w:val="0"/>
        <w:keepLines w:val="0"/>
        <w:pageBreakBefore w:val="0"/>
        <w:kinsoku/>
        <w:wordWrap/>
        <w:overflowPunct/>
        <w:topLinePunct w:val="0"/>
        <w:autoSpaceDE/>
        <w:autoSpaceDN/>
        <w:bidi w:val="0"/>
        <w:adjustRightInd w:val="0"/>
        <w:snapToGrid w:val="0"/>
        <w:spacing w:beforeLines="50" w:line="240" w:lineRule="auto"/>
        <w:ind w:right="-109" w:rightChars="-52" w:firstLine="420" w:firstLineChars="200"/>
        <w:textAlignment w:val="auto"/>
        <w:rPr>
          <w:rFonts w:ascii="宋体" w:hAnsi="宋体"/>
          <w:color w:val="auto"/>
          <w:szCs w:val="21"/>
          <w:highlight w:val="none"/>
        </w:rPr>
      </w:pPr>
      <w:r>
        <w:rPr>
          <w:rFonts w:hint="eastAsia" w:ascii="宋体" w:hAnsi="宋体"/>
          <w:bCs/>
          <w:color w:val="auto"/>
          <w:szCs w:val="21"/>
          <w:highlight w:val="none"/>
        </w:rPr>
        <w:t>2.1.1初步</w:t>
      </w:r>
      <w:r>
        <w:rPr>
          <w:rFonts w:hint="eastAsia" w:ascii="宋体" w:hAnsi="宋体"/>
          <w:color w:val="auto"/>
          <w:szCs w:val="21"/>
          <w:highlight w:val="none"/>
        </w:rPr>
        <w:t>评审分为资格性检查和符合性检查。</w:t>
      </w:r>
    </w:p>
    <w:p w14:paraId="747181AB">
      <w:pPr>
        <w:keepNext w:val="0"/>
        <w:keepLines w:val="0"/>
        <w:pageBreakBefore w:val="0"/>
        <w:kinsoku/>
        <w:wordWrap/>
        <w:overflowPunct/>
        <w:topLinePunct w:val="0"/>
        <w:autoSpaceDE/>
        <w:autoSpaceDN/>
        <w:bidi w:val="0"/>
        <w:adjustRightInd w:val="0"/>
        <w:snapToGrid w:val="0"/>
        <w:spacing w:beforeLines="50" w:line="240" w:lineRule="auto"/>
        <w:ind w:right="-109" w:rightChars="-52" w:firstLine="420" w:firstLineChars="200"/>
        <w:textAlignment w:val="auto"/>
        <w:rPr>
          <w:rFonts w:ascii="宋体" w:hAnsi="宋体"/>
          <w:color w:val="auto"/>
          <w:szCs w:val="21"/>
          <w:highlight w:val="none"/>
        </w:rPr>
      </w:pPr>
      <w:r>
        <w:rPr>
          <w:rFonts w:hint="eastAsia" w:ascii="宋体" w:hAnsi="宋体"/>
          <w:color w:val="auto"/>
          <w:szCs w:val="21"/>
          <w:highlight w:val="none"/>
        </w:rPr>
        <w:t>(1) 资格性检查。根据法律法规和采购文件的规定，对响应文件中的资格证明、保证金等进行审查，以确定供应商是否具备投标资格。</w:t>
      </w:r>
    </w:p>
    <w:p w14:paraId="6E5E92A6">
      <w:pPr>
        <w:keepNext w:val="0"/>
        <w:keepLines w:val="0"/>
        <w:pageBreakBefore w:val="0"/>
        <w:kinsoku/>
        <w:wordWrap/>
        <w:overflowPunct/>
        <w:topLinePunct w:val="0"/>
        <w:autoSpaceDE/>
        <w:autoSpaceDN/>
        <w:bidi w:val="0"/>
        <w:adjustRightInd w:val="0"/>
        <w:snapToGrid w:val="0"/>
        <w:spacing w:beforeLines="50" w:line="240" w:lineRule="auto"/>
        <w:ind w:right="-109" w:rightChars="-52" w:firstLine="420" w:firstLineChars="200"/>
        <w:textAlignment w:val="auto"/>
        <w:rPr>
          <w:rFonts w:ascii="宋体" w:hAnsi="宋体"/>
          <w:color w:val="auto"/>
          <w:szCs w:val="21"/>
          <w:highlight w:val="none"/>
        </w:rPr>
      </w:pPr>
      <w:r>
        <w:rPr>
          <w:rFonts w:hint="eastAsia" w:ascii="宋体" w:hAnsi="宋体"/>
          <w:color w:val="auto"/>
          <w:szCs w:val="21"/>
          <w:highlight w:val="none"/>
        </w:rPr>
        <w:t>(2) 符合性检查。依据采购文件的规定，从响应文件的有效性、完整性和对采购文件的响应程度进行审查，以确定是否对采购文件的实质性要求作出响应。评审小组</w:t>
      </w:r>
      <w:r>
        <w:rPr>
          <w:rFonts w:hint="eastAsia"/>
          <w:color w:val="auto"/>
          <w:szCs w:val="21"/>
          <w:highlight w:val="none"/>
        </w:rPr>
        <w:t>决定响应</w:t>
      </w:r>
      <w:r>
        <w:rPr>
          <w:rFonts w:hint="eastAsia" w:ascii="宋体" w:hAnsi="宋体"/>
          <w:color w:val="auto"/>
          <w:szCs w:val="21"/>
          <w:highlight w:val="none"/>
        </w:rPr>
        <w:t>文件</w:t>
      </w:r>
      <w:r>
        <w:rPr>
          <w:rFonts w:hint="eastAsia"/>
          <w:color w:val="auto"/>
          <w:szCs w:val="21"/>
          <w:highlight w:val="none"/>
        </w:rPr>
        <w:t>的响应性只根据响应</w:t>
      </w:r>
      <w:r>
        <w:rPr>
          <w:rFonts w:hint="eastAsia" w:ascii="宋体" w:hAnsi="宋体"/>
          <w:color w:val="auto"/>
          <w:szCs w:val="21"/>
          <w:highlight w:val="none"/>
        </w:rPr>
        <w:t>文件</w:t>
      </w:r>
      <w:r>
        <w:rPr>
          <w:rFonts w:hint="eastAsia"/>
          <w:color w:val="auto"/>
          <w:szCs w:val="21"/>
          <w:highlight w:val="none"/>
        </w:rPr>
        <w:t>真实无误的内容，而不依据外部的证据，但响应</w:t>
      </w:r>
      <w:r>
        <w:rPr>
          <w:rFonts w:hint="eastAsia" w:ascii="宋体" w:hAnsi="宋体"/>
          <w:color w:val="auto"/>
          <w:szCs w:val="21"/>
          <w:highlight w:val="none"/>
        </w:rPr>
        <w:t>文件</w:t>
      </w:r>
      <w:r>
        <w:rPr>
          <w:rFonts w:hint="eastAsia"/>
          <w:color w:val="auto"/>
          <w:szCs w:val="21"/>
          <w:highlight w:val="none"/>
        </w:rPr>
        <w:t>有不真实、不正确的内容时除外。</w:t>
      </w:r>
    </w:p>
    <w:p w14:paraId="2E5A25BB">
      <w:pPr>
        <w:keepNext w:val="0"/>
        <w:keepLines w:val="0"/>
        <w:pageBreakBefore w:val="0"/>
        <w:kinsoku/>
        <w:wordWrap/>
        <w:overflowPunct/>
        <w:topLinePunct w:val="0"/>
        <w:autoSpaceDE/>
        <w:autoSpaceDN/>
        <w:bidi w:val="0"/>
        <w:adjustRightInd w:val="0"/>
        <w:snapToGrid w:val="0"/>
        <w:spacing w:beforeLines="50" w:line="240" w:lineRule="auto"/>
        <w:ind w:right="-109" w:rightChars="-52" w:firstLine="420" w:firstLineChars="200"/>
        <w:textAlignment w:val="auto"/>
        <w:rPr>
          <w:rFonts w:ascii="宋体" w:hAnsi="宋体"/>
          <w:color w:val="auto"/>
          <w:szCs w:val="21"/>
          <w:highlight w:val="none"/>
        </w:rPr>
      </w:pPr>
      <w:r>
        <w:rPr>
          <w:rFonts w:hint="eastAsia" w:ascii="宋体" w:hAnsi="宋体"/>
          <w:color w:val="auto"/>
          <w:szCs w:val="21"/>
          <w:highlight w:val="none"/>
        </w:rPr>
        <w:t>(3)供应商</w:t>
      </w:r>
      <w:r>
        <w:rPr>
          <w:rFonts w:hint="eastAsia"/>
          <w:color w:val="auto"/>
          <w:szCs w:val="21"/>
          <w:highlight w:val="none"/>
        </w:rPr>
        <w:t>不得通过修正或撤销不合要求的偏离从而使其投标成为实质上响应的投标。</w:t>
      </w:r>
    </w:p>
    <w:p w14:paraId="2B1A1C39">
      <w:pPr>
        <w:keepNext w:val="0"/>
        <w:keepLines w:val="0"/>
        <w:pageBreakBefore w:val="0"/>
        <w:kinsoku/>
        <w:wordWrap/>
        <w:overflowPunct/>
        <w:topLinePunct w:val="0"/>
        <w:autoSpaceDE/>
        <w:autoSpaceDN/>
        <w:bidi w:val="0"/>
        <w:adjustRightInd w:val="0"/>
        <w:snapToGrid w:val="0"/>
        <w:spacing w:beforeLines="50" w:line="240" w:lineRule="auto"/>
        <w:ind w:right="-109" w:rightChars="-52" w:firstLine="420" w:firstLineChars="200"/>
        <w:textAlignment w:val="auto"/>
        <w:rPr>
          <w:rFonts w:ascii="宋体" w:hAnsi="宋体"/>
          <w:color w:val="auto"/>
          <w:szCs w:val="21"/>
          <w:highlight w:val="none"/>
        </w:rPr>
      </w:pPr>
      <w:r>
        <w:rPr>
          <w:rFonts w:hint="eastAsia" w:ascii="宋体" w:hAnsi="宋体"/>
          <w:color w:val="auto"/>
          <w:szCs w:val="21"/>
          <w:highlight w:val="none"/>
        </w:rPr>
        <w:t>2.1.2 响应文件属下列情况之一的，应当在资格性、符合性检查时按照无效响应处理，无效响应的情况同时在</w:t>
      </w:r>
      <w:r>
        <w:rPr>
          <w:rFonts w:hint="eastAsia" w:ascii="宋体" w:hAnsi="宋体"/>
          <w:b/>
          <w:color w:val="auto"/>
          <w:szCs w:val="21"/>
          <w:highlight w:val="none"/>
        </w:rPr>
        <w:t>供应商须知前附表</w:t>
      </w:r>
      <w:r>
        <w:rPr>
          <w:rFonts w:hint="eastAsia" w:ascii="宋体" w:hAnsi="宋体"/>
          <w:color w:val="auto"/>
          <w:szCs w:val="21"/>
          <w:highlight w:val="none"/>
        </w:rPr>
        <w:t>集中列示：</w:t>
      </w:r>
    </w:p>
    <w:p w14:paraId="6F8D2278">
      <w:pPr>
        <w:keepNext w:val="0"/>
        <w:keepLines w:val="0"/>
        <w:pageBreakBefore w:val="0"/>
        <w:kinsoku/>
        <w:wordWrap/>
        <w:overflowPunct/>
        <w:topLinePunct w:val="0"/>
        <w:autoSpaceDE/>
        <w:autoSpaceDN/>
        <w:bidi w:val="0"/>
        <w:adjustRightInd w:val="0"/>
        <w:snapToGrid w:val="0"/>
        <w:spacing w:beforeLines="50" w:line="240" w:lineRule="auto"/>
        <w:ind w:right="-109" w:rightChars="-52" w:firstLine="420" w:firstLineChars="200"/>
        <w:textAlignment w:val="auto"/>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1</w:t>
      </w:r>
      <w:r>
        <w:rPr>
          <w:rFonts w:hint="eastAsia" w:ascii="宋体" w:hAnsi="宋体"/>
          <w:color w:val="auto"/>
          <w:szCs w:val="21"/>
          <w:highlight w:val="none"/>
        </w:rPr>
        <w:t>）未按照采购文件规定要求密封、签署、盖章的；</w:t>
      </w:r>
    </w:p>
    <w:p w14:paraId="6CBAC821">
      <w:pPr>
        <w:keepNext w:val="0"/>
        <w:keepLines w:val="0"/>
        <w:pageBreakBefore w:val="0"/>
        <w:kinsoku/>
        <w:wordWrap/>
        <w:overflowPunct/>
        <w:topLinePunct w:val="0"/>
        <w:autoSpaceDE/>
        <w:autoSpaceDN/>
        <w:bidi w:val="0"/>
        <w:adjustRightInd w:val="0"/>
        <w:snapToGrid w:val="0"/>
        <w:spacing w:beforeLines="50" w:line="240" w:lineRule="auto"/>
        <w:ind w:right="-109" w:rightChars="-52" w:firstLine="420" w:firstLineChars="200"/>
        <w:textAlignment w:val="auto"/>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s="Arial"/>
          <w:color w:val="auto"/>
          <w:szCs w:val="21"/>
          <w:highlight w:val="none"/>
        </w:rPr>
        <w:t>联合体没有提交</w:t>
      </w:r>
      <w:r>
        <w:rPr>
          <w:rFonts w:hint="eastAsia" w:ascii="宋体" w:hAnsi="宋体"/>
          <w:color w:val="auto"/>
          <w:szCs w:val="21"/>
          <w:highlight w:val="none"/>
        </w:rPr>
        <w:t>联合体协议书</w:t>
      </w:r>
      <w:r>
        <w:rPr>
          <w:rFonts w:hint="eastAsia" w:ascii="宋体" w:hAnsi="宋体"/>
          <w:bCs/>
          <w:color w:val="auto"/>
          <w:szCs w:val="21"/>
          <w:highlight w:val="none"/>
        </w:rPr>
        <w:t>，</w:t>
      </w:r>
      <w:r>
        <w:rPr>
          <w:rFonts w:hint="eastAsia"/>
          <w:color w:val="auto"/>
          <w:szCs w:val="21"/>
          <w:highlight w:val="none"/>
        </w:rPr>
        <w:t>或</w:t>
      </w:r>
      <w:r>
        <w:rPr>
          <w:rFonts w:hint="eastAsia" w:ascii="宋体" w:hAnsi="宋体"/>
          <w:color w:val="auto"/>
          <w:szCs w:val="21"/>
          <w:highlight w:val="none"/>
        </w:rPr>
        <w:t>未提交联合体各方资格证明文件</w:t>
      </w:r>
      <w:r>
        <w:rPr>
          <w:rFonts w:hint="eastAsia" w:ascii="宋体" w:hAnsi="宋体"/>
          <w:bCs/>
          <w:color w:val="auto"/>
          <w:szCs w:val="21"/>
          <w:highlight w:val="none"/>
        </w:rPr>
        <w:t>，</w:t>
      </w:r>
      <w:r>
        <w:rPr>
          <w:rFonts w:hint="eastAsia"/>
          <w:color w:val="auto"/>
          <w:szCs w:val="21"/>
          <w:highlight w:val="none"/>
        </w:rPr>
        <w:t>或</w:t>
      </w:r>
      <w:r>
        <w:rPr>
          <w:rFonts w:hint="eastAsia" w:ascii="宋体" w:hAnsi="宋体"/>
          <w:color w:val="auto"/>
          <w:szCs w:val="21"/>
          <w:highlight w:val="none"/>
        </w:rPr>
        <w:t>联合体</w:t>
      </w:r>
      <w:r>
        <w:rPr>
          <w:rFonts w:hint="eastAsia" w:ascii="宋体" w:hAnsi="宋体" w:cs="Arial"/>
          <w:color w:val="auto"/>
          <w:kern w:val="0"/>
          <w:szCs w:val="21"/>
          <w:highlight w:val="none"/>
        </w:rPr>
        <w:t>牵头方</w:t>
      </w:r>
      <w:r>
        <w:rPr>
          <w:rFonts w:hint="eastAsia"/>
          <w:color w:val="auto"/>
          <w:szCs w:val="21"/>
          <w:highlight w:val="none"/>
        </w:rPr>
        <w:t>不</w:t>
      </w:r>
      <w:r>
        <w:rPr>
          <w:rFonts w:hint="eastAsia" w:ascii="宋体" w:hAnsi="宋体"/>
          <w:color w:val="auto"/>
          <w:szCs w:val="21"/>
          <w:highlight w:val="none"/>
        </w:rPr>
        <w:t>符合本章第3.1</w:t>
      </w:r>
      <w:r>
        <w:rPr>
          <w:rFonts w:hint="eastAsia" w:ascii="宋体" w:hAnsi="宋体" w:cs="宋体"/>
          <w:color w:val="auto"/>
          <w:kern w:val="0"/>
          <w:szCs w:val="21"/>
          <w:highlight w:val="none"/>
          <w:lang w:val="zh-CN"/>
        </w:rPr>
        <w:t>款</w:t>
      </w:r>
      <w:r>
        <w:rPr>
          <w:rFonts w:hint="eastAsia" w:ascii="宋体" w:hAnsi="宋体"/>
          <w:color w:val="auto"/>
          <w:szCs w:val="21"/>
          <w:highlight w:val="none"/>
        </w:rPr>
        <w:t>规定的供应商资格条件</w:t>
      </w:r>
      <w:r>
        <w:rPr>
          <w:rFonts w:hint="eastAsia" w:ascii="宋体" w:hAnsi="宋体"/>
          <w:bCs/>
          <w:color w:val="auto"/>
          <w:szCs w:val="21"/>
          <w:highlight w:val="none"/>
        </w:rPr>
        <w:t>的；</w:t>
      </w:r>
    </w:p>
    <w:p w14:paraId="00C97253">
      <w:pPr>
        <w:keepNext w:val="0"/>
        <w:keepLines w:val="0"/>
        <w:pageBreakBefore w:val="0"/>
        <w:kinsoku/>
        <w:wordWrap/>
        <w:overflowPunct/>
        <w:topLinePunct w:val="0"/>
        <w:autoSpaceDE/>
        <w:autoSpaceDN/>
        <w:bidi w:val="0"/>
        <w:adjustRightInd w:val="0"/>
        <w:snapToGrid w:val="0"/>
        <w:spacing w:beforeLines="50" w:line="240" w:lineRule="auto"/>
        <w:ind w:right="-109" w:rightChars="-52" w:firstLine="420" w:firstLineChars="200"/>
        <w:textAlignment w:val="auto"/>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）不具备第二章“供应商须知”第3.1</w:t>
      </w:r>
      <w:r>
        <w:rPr>
          <w:rFonts w:hint="eastAsia" w:ascii="宋体" w:hAnsi="宋体" w:cs="宋体"/>
          <w:color w:val="auto"/>
          <w:kern w:val="0"/>
          <w:szCs w:val="21"/>
          <w:highlight w:val="none"/>
          <w:lang w:val="zh-CN"/>
        </w:rPr>
        <w:t>款</w:t>
      </w:r>
      <w:r>
        <w:rPr>
          <w:rFonts w:hint="eastAsia" w:ascii="宋体" w:hAnsi="宋体"/>
          <w:color w:val="auto"/>
          <w:szCs w:val="21"/>
          <w:highlight w:val="none"/>
        </w:rPr>
        <w:t>规定的供应商资格要求的；</w:t>
      </w:r>
    </w:p>
    <w:p w14:paraId="588504D9">
      <w:pPr>
        <w:keepNext w:val="0"/>
        <w:keepLines w:val="0"/>
        <w:pageBreakBefore w:val="0"/>
        <w:kinsoku/>
        <w:wordWrap/>
        <w:overflowPunct/>
        <w:topLinePunct w:val="0"/>
        <w:autoSpaceDE/>
        <w:autoSpaceDN/>
        <w:bidi w:val="0"/>
        <w:adjustRightInd w:val="0"/>
        <w:snapToGrid w:val="0"/>
        <w:spacing w:beforeLines="50" w:line="240" w:lineRule="auto"/>
        <w:ind w:right="-109" w:rightChars="-52" w:firstLine="420" w:firstLineChars="200"/>
        <w:textAlignment w:val="auto"/>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）不满足第二章“供应商须知”第10.2</w:t>
      </w:r>
      <w:r>
        <w:rPr>
          <w:rFonts w:hint="eastAsia" w:ascii="宋体" w:hAnsi="宋体" w:cs="宋体"/>
          <w:color w:val="auto"/>
          <w:kern w:val="0"/>
          <w:szCs w:val="21"/>
          <w:highlight w:val="none"/>
          <w:lang w:val="zh-CN"/>
        </w:rPr>
        <w:t>款</w:t>
      </w:r>
      <w:r>
        <w:rPr>
          <w:rFonts w:hint="eastAsia" w:ascii="宋体" w:hAnsi="宋体"/>
          <w:bCs/>
          <w:color w:val="auto"/>
          <w:szCs w:val="21"/>
          <w:highlight w:val="none"/>
        </w:rPr>
        <w:t>规定的</w:t>
      </w:r>
      <w:r>
        <w:rPr>
          <w:rFonts w:hint="eastAsia" w:ascii="宋体" w:hAnsi="宋体"/>
          <w:color w:val="auto"/>
          <w:szCs w:val="21"/>
          <w:highlight w:val="none"/>
        </w:rPr>
        <w:t>实质性要求的；</w:t>
      </w:r>
    </w:p>
    <w:p w14:paraId="7F653138">
      <w:pPr>
        <w:keepNext w:val="0"/>
        <w:keepLines w:val="0"/>
        <w:pageBreakBefore w:val="0"/>
        <w:kinsoku/>
        <w:wordWrap/>
        <w:overflowPunct/>
        <w:topLinePunct w:val="0"/>
        <w:autoSpaceDE/>
        <w:autoSpaceDN/>
        <w:bidi w:val="0"/>
        <w:adjustRightInd w:val="0"/>
        <w:snapToGrid w:val="0"/>
        <w:spacing w:beforeLines="50" w:line="240" w:lineRule="auto"/>
        <w:ind w:right="-109" w:rightChars="-52" w:firstLine="420" w:firstLineChars="200"/>
        <w:textAlignment w:val="auto"/>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）投标报价超过采购项目预算的；</w:t>
      </w:r>
    </w:p>
    <w:p w14:paraId="71A9FEDD">
      <w:pPr>
        <w:keepNext w:val="0"/>
        <w:keepLines w:val="0"/>
        <w:pageBreakBefore w:val="0"/>
        <w:kinsoku/>
        <w:wordWrap/>
        <w:overflowPunct/>
        <w:topLinePunct w:val="0"/>
        <w:autoSpaceDE/>
        <w:autoSpaceDN/>
        <w:bidi w:val="0"/>
        <w:adjustRightInd w:val="0"/>
        <w:snapToGrid w:val="0"/>
        <w:spacing w:beforeLines="50" w:line="24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）同一供应商提交两个以上不同的响应文件或者投标报价的；</w:t>
      </w:r>
    </w:p>
    <w:p w14:paraId="64A0E218">
      <w:pPr>
        <w:keepNext w:val="0"/>
        <w:keepLines w:val="0"/>
        <w:pageBreakBefore w:val="0"/>
        <w:tabs>
          <w:tab w:val="left" w:pos="3105"/>
        </w:tabs>
        <w:kinsoku/>
        <w:wordWrap/>
        <w:overflowPunct/>
        <w:topLinePunct w:val="0"/>
        <w:autoSpaceDE/>
        <w:autoSpaceDN/>
        <w:bidi w:val="0"/>
        <w:adjustRightInd w:val="0"/>
        <w:snapToGrid w:val="0"/>
        <w:spacing w:beforeLines="50" w:line="240" w:lineRule="auto"/>
        <w:ind w:firstLine="420" w:firstLineChars="200"/>
        <w:textAlignment w:val="auto"/>
        <w:rPr>
          <w:rFonts w:ascii="宋体" w:hAnsi="宋体"/>
          <w:color w:val="auto"/>
          <w:kern w:val="0"/>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w:t>
      </w:r>
      <w:r>
        <w:rPr>
          <w:rFonts w:hint="eastAsia" w:ascii="宋体" w:hAnsi="宋体"/>
          <w:color w:val="auto"/>
          <w:kern w:val="0"/>
          <w:highlight w:val="none"/>
        </w:rPr>
        <w:t>响应</w:t>
      </w:r>
      <w:r>
        <w:rPr>
          <w:rFonts w:ascii="宋体" w:hAnsi="宋体"/>
          <w:color w:val="auto"/>
          <w:kern w:val="0"/>
          <w:highlight w:val="none"/>
        </w:rPr>
        <w:t>文件载明的投标范围小于</w:t>
      </w:r>
      <w:r>
        <w:rPr>
          <w:rFonts w:hint="eastAsia" w:ascii="宋体" w:hAnsi="宋体"/>
          <w:color w:val="auto"/>
          <w:kern w:val="0"/>
          <w:highlight w:val="none"/>
        </w:rPr>
        <w:t>采购</w:t>
      </w:r>
      <w:r>
        <w:rPr>
          <w:rFonts w:ascii="宋体" w:hAnsi="宋体"/>
          <w:color w:val="auto"/>
          <w:kern w:val="0"/>
          <w:highlight w:val="none"/>
        </w:rPr>
        <w:t>文件规定的招标范围的</w:t>
      </w:r>
      <w:r>
        <w:rPr>
          <w:rFonts w:hint="eastAsia" w:ascii="宋体" w:hAnsi="宋体"/>
          <w:color w:val="auto"/>
          <w:kern w:val="0"/>
          <w:highlight w:val="none"/>
        </w:rPr>
        <w:t>(</w:t>
      </w:r>
      <w:r>
        <w:rPr>
          <w:rFonts w:hint="eastAsia" w:ascii="宋体" w:hAnsi="宋体"/>
          <w:color w:val="auto"/>
          <w:szCs w:val="21"/>
          <w:highlight w:val="none"/>
        </w:rPr>
        <w:t>缺漏采购文件所要求的内容)</w:t>
      </w:r>
      <w:r>
        <w:rPr>
          <w:rFonts w:ascii="宋体" w:hAnsi="宋体"/>
          <w:color w:val="auto"/>
          <w:kern w:val="0"/>
          <w:highlight w:val="none"/>
        </w:rPr>
        <w:t>；</w:t>
      </w:r>
    </w:p>
    <w:p w14:paraId="27112E5A">
      <w:pPr>
        <w:keepNext w:val="0"/>
        <w:keepLines w:val="0"/>
        <w:pageBreakBefore w:val="0"/>
        <w:tabs>
          <w:tab w:val="left" w:pos="3105"/>
        </w:tabs>
        <w:kinsoku/>
        <w:wordWrap/>
        <w:overflowPunct/>
        <w:topLinePunct w:val="0"/>
        <w:autoSpaceDE/>
        <w:autoSpaceDN/>
        <w:bidi w:val="0"/>
        <w:adjustRightInd w:val="0"/>
        <w:snapToGrid w:val="0"/>
        <w:spacing w:beforeLines="50" w:line="24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8</w:t>
      </w:r>
      <w:r>
        <w:rPr>
          <w:rFonts w:hint="eastAsia" w:ascii="宋体" w:hAnsi="宋体"/>
          <w:color w:val="auto"/>
          <w:szCs w:val="21"/>
          <w:highlight w:val="none"/>
        </w:rPr>
        <w:t>）响应文件有效期不足的；</w:t>
      </w:r>
    </w:p>
    <w:p w14:paraId="247F6C4A">
      <w:pPr>
        <w:keepNext w:val="0"/>
        <w:keepLines w:val="0"/>
        <w:pageBreakBefore w:val="0"/>
        <w:tabs>
          <w:tab w:val="left" w:pos="3105"/>
        </w:tabs>
        <w:kinsoku/>
        <w:wordWrap/>
        <w:overflowPunct/>
        <w:topLinePunct w:val="0"/>
        <w:autoSpaceDE/>
        <w:autoSpaceDN/>
        <w:bidi w:val="0"/>
        <w:adjustRightInd w:val="0"/>
        <w:snapToGrid w:val="0"/>
        <w:spacing w:beforeLines="50" w:line="240" w:lineRule="auto"/>
        <w:ind w:firstLine="420" w:firstLineChars="200"/>
        <w:textAlignment w:val="auto"/>
        <w:rPr>
          <w:rFonts w:ascii="宋体" w:hAnsi="宋体"/>
          <w:bCs/>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9</w:t>
      </w:r>
      <w:r>
        <w:rPr>
          <w:rFonts w:hint="eastAsia" w:ascii="宋体" w:hAnsi="宋体"/>
          <w:color w:val="auto"/>
          <w:szCs w:val="21"/>
          <w:highlight w:val="none"/>
        </w:rPr>
        <w:t>）不符合法律、法规和采购文件规定的。</w:t>
      </w:r>
    </w:p>
    <w:p w14:paraId="12C6FDE8">
      <w:pPr>
        <w:keepNext w:val="0"/>
        <w:keepLines w:val="0"/>
        <w:pageBreakBefore w:val="0"/>
        <w:kinsoku/>
        <w:wordWrap/>
        <w:overflowPunct/>
        <w:topLinePunct w:val="0"/>
        <w:autoSpaceDE/>
        <w:autoSpaceDN/>
        <w:bidi w:val="0"/>
        <w:adjustRightInd w:val="0"/>
        <w:snapToGrid w:val="0"/>
        <w:spacing w:beforeLines="50" w:line="240" w:lineRule="auto"/>
        <w:ind w:right="-109" w:rightChars="-52" w:firstLine="420" w:firstLineChars="200"/>
        <w:textAlignment w:val="auto"/>
        <w:rPr>
          <w:rFonts w:ascii="宋体" w:hAnsi="宋体"/>
          <w:color w:val="auto"/>
          <w:szCs w:val="21"/>
          <w:highlight w:val="none"/>
        </w:rPr>
      </w:pPr>
      <w:r>
        <w:rPr>
          <w:rFonts w:hint="eastAsia" w:ascii="宋体" w:hAnsi="宋体"/>
          <w:color w:val="auto"/>
          <w:szCs w:val="21"/>
          <w:highlight w:val="none"/>
        </w:rPr>
        <w:t>2.1.3 有下列情形之一时，评审小组应予废标，并将理由通知所有供应商。废标的情形同时在</w:t>
      </w:r>
      <w:r>
        <w:rPr>
          <w:rFonts w:hint="eastAsia" w:ascii="宋体" w:hAnsi="宋体"/>
          <w:b/>
          <w:color w:val="auto"/>
          <w:szCs w:val="21"/>
          <w:highlight w:val="none"/>
        </w:rPr>
        <w:t>供应商须知前附表</w:t>
      </w:r>
      <w:r>
        <w:rPr>
          <w:rFonts w:hint="eastAsia" w:ascii="宋体" w:hAnsi="宋体"/>
          <w:color w:val="auto"/>
          <w:szCs w:val="21"/>
          <w:highlight w:val="none"/>
        </w:rPr>
        <w:t>集中列示：</w:t>
      </w:r>
    </w:p>
    <w:p w14:paraId="5E02BBEC">
      <w:pPr>
        <w:keepNext w:val="0"/>
        <w:keepLines w:val="0"/>
        <w:pageBreakBefore w:val="0"/>
        <w:kinsoku/>
        <w:wordWrap/>
        <w:overflowPunct/>
        <w:topLinePunct w:val="0"/>
        <w:autoSpaceDE/>
        <w:autoSpaceDN/>
        <w:bidi w:val="0"/>
        <w:adjustRightInd w:val="0"/>
        <w:snapToGrid w:val="0"/>
        <w:spacing w:beforeLines="50" w:line="240" w:lineRule="auto"/>
        <w:ind w:right="-109" w:rightChars="-52" w:firstLine="420" w:firstLineChars="200"/>
        <w:textAlignment w:val="auto"/>
        <w:rPr>
          <w:rFonts w:ascii="宋体" w:hAnsi="宋体"/>
          <w:color w:val="auto"/>
          <w:szCs w:val="21"/>
          <w:highlight w:val="none"/>
        </w:rPr>
      </w:pPr>
      <w:r>
        <w:rPr>
          <w:rFonts w:hint="eastAsia" w:ascii="宋体" w:hAnsi="宋体"/>
          <w:color w:val="auto"/>
          <w:szCs w:val="21"/>
          <w:highlight w:val="none"/>
        </w:rPr>
        <w:t>（1）出现影响采购公正的违法、违规行为的；</w:t>
      </w:r>
    </w:p>
    <w:p w14:paraId="3C9359C9">
      <w:pPr>
        <w:keepNext w:val="0"/>
        <w:keepLines w:val="0"/>
        <w:pageBreakBefore w:val="0"/>
        <w:kinsoku/>
        <w:wordWrap/>
        <w:overflowPunct/>
        <w:topLinePunct w:val="0"/>
        <w:autoSpaceDE/>
        <w:autoSpaceDN/>
        <w:bidi w:val="0"/>
        <w:adjustRightInd w:val="0"/>
        <w:snapToGrid w:val="0"/>
        <w:spacing w:beforeLines="50" w:line="240" w:lineRule="auto"/>
        <w:ind w:right="-109" w:rightChars="-52" w:firstLine="420" w:firstLineChars="200"/>
        <w:textAlignment w:val="auto"/>
        <w:rPr>
          <w:rFonts w:ascii="宋体" w:hAnsi="宋体"/>
          <w:color w:val="auto"/>
          <w:szCs w:val="21"/>
          <w:highlight w:val="none"/>
        </w:rPr>
      </w:pPr>
      <w:r>
        <w:rPr>
          <w:rFonts w:hint="eastAsia" w:ascii="宋体" w:hAnsi="宋体"/>
          <w:color w:val="auto"/>
          <w:szCs w:val="21"/>
          <w:highlight w:val="none"/>
        </w:rPr>
        <w:t>（2）供应商的报价均超过了采购预算；</w:t>
      </w:r>
    </w:p>
    <w:p w14:paraId="10CAA450">
      <w:pPr>
        <w:keepNext w:val="0"/>
        <w:keepLines w:val="0"/>
        <w:pageBreakBefore w:val="0"/>
        <w:kinsoku/>
        <w:wordWrap/>
        <w:overflowPunct/>
        <w:topLinePunct w:val="0"/>
        <w:autoSpaceDE/>
        <w:autoSpaceDN/>
        <w:bidi w:val="0"/>
        <w:adjustRightInd w:val="0"/>
        <w:snapToGrid w:val="0"/>
        <w:spacing w:beforeLines="50" w:line="240" w:lineRule="auto"/>
        <w:ind w:right="-109" w:rightChars="-52" w:firstLine="420" w:firstLineChars="200"/>
        <w:textAlignment w:val="auto"/>
        <w:rPr>
          <w:rFonts w:ascii="宋体" w:hAnsi="宋体"/>
          <w:color w:val="auto"/>
          <w:szCs w:val="21"/>
          <w:highlight w:val="none"/>
        </w:rPr>
      </w:pPr>
      <w:r>
        <w:rPr>
          <w:rFonts w:hint="eastAsia" w:ascii="宋体" w:hAnsi="宋体"/>
          <w:color w:val="auto"/>
          <w:szCs w:val="21"/>
          <w:highlight w:val="none"/>
        </w:rPr>
        <w:t>（3）评审过程中，合格供应商仅有一家；</w:t>
      </w:r>
    </w:p>
    <w:p w14:paraId="19C31467">
      <w:pPr>
        <w:keepNext w:val="0"/>
        <w:keepLines w:val="0"/>
        <w:pageBreakBefore w:val="0"/>
        <w:kinsoku/>
        <w:wordWrap/>
        <w:overflowPunct/>
        <w:topLinePunct w:val="0"/>
        <w:autoSpaceDE/>
        <w:autoSpaceDN/>
        <w:bidi w:val="0"/>
        <w:adjustRightInd w:val="0"/>
        <w:snapToGrid w:val="0"/>
        <w:spacing w:beforeLines="50" w:line="240" w:lineRule="auto"/>
        <w:ind w:right="-109" w:rightChars="-52" w:firstLine="420" w:firstLineChars="200"/>
        <w:textAlignment w:val="auto"/>
        <w:rPr>
          <w:rFonts w:ascii="宋体" w:hAnsi="宋体"/>
          <w:color w:val="auto"/>
          <w:szCs w:val="21"/>
          <w:highlight w:val="none"/>
        </w:rPr>
      </w:pPr>
      <w:r>
        <w:rPr>
          <w:rFonts w:hint="eastAsia" w:ascii="宋体" w:hAnsi="宋体"/>
          <w:color w:val="auto"/>
          <w:szCs w:val="21"/>
          <w:highlight w:val="none"/>
        </w:rPr>
        <w:t>（4）因重大变故，采购任务取消的。</w:t>
      </w:r>
    </w:p>
    <w:p w14:paraId="527CBBB0">
      <w:pPr>
        <w:keepNext w:val="0"/>
        <w:keepLines w:val="0"/>
        <w:pageBreakBefore w:val="0"/>
        <w:kinsoku/>
        <w:wordWrap/>
        <w:overflowPunct/>
        <w:topLinePunct w:val="0"/>
        <w:autoSpaceDE/>
        <w:autoSpaceDN/>
        <w:bidi w:val="0"/>
        <w:adjustRightInd w:val="0"/>
        <w:snapToGrid w:val="0"/>
        <w:spacing w:beforeLines="50" w:line="240" w:lineRule="auto"/>
        <w:ind w:right="-109" w:rightChars="-52" w:firstLine="420" w:firstLineChars="200"/>
        <w:textAlignment w:val="auto"/>
        <w:rPr>
          <w:rFonts w:ascii="宋体" w:hAnsi="宋体"/>
          <w:color w:val="auto"/>
          <w:szCs w:val="21"/>
          <w:highlight w:val="none"/>
        </w:rPr>
      </w:pPr>
      <w:r>
        <w:rPr>
          <w:rFonts w:hint="eastAsia" w:ascii="宋体" w:hAnsi="宋体"/>
          <w:color w:val="auto"/>
          <w:szCs w:val="21"/>
          <w:highlight w:val="none"/>
        </w:rPr>
        <w:t>2.1.4除</w:t>
      </w:r>
      <w:r>
        <w:rPr>
          <w:rFonts w:hint="eastAsia" w:ascii="宋体" w:hAnsi="宋体"/>
          <w:b/>
          <w:color w:val="auto"/>
          <w:szCs w:val="21"/>
          <w:highlight w:val="none"/>
        </w:rPr>
        <w:t>供应商须知前附表</w:t>
      </w:r>
      <w:r>
        <w:rPr>
          <w:rFonts w:hint="eastAsia" w:ascii="宋体" w:hAnsi="宋体"/>
          <w:color w:val="auto"/>
          <w:szCs w:val="21"/>
          <w:highlight w:val="none"/>
        </w:rPr>
        <w:t>另有规定外</w:t>
      </w:r>
      <w:r>
        <w:rPr>
          <w:rFonts w:hint="eastAsia" w:ascii="宋体" w:hAnsi="宋体"/>
          <w:b/>
          <w:color w:val="auto"/>
          <w:szCs w:val="21"/>
          <w:highlight w:val="none"/>
        </w:rPr>
        <w:t>，</w:t>
      </w:r>
      <w:r>
        <w:rPr>
          <w:rFonts w:hint="eastAsia" w:ascii="宋体" w:hAnsi="宋体"/>
          <w:color w:val="auto"/>
          <w:szCs w:val="21"/>
          <w:highlight w:val="none"/>
        </w:rPr>
        <w:t>多家代理商参加同一品牌同一型号产品投标的，在统计供应商数量时，作为一个供应商计算。</w:t>
      </w:r>
    </w:p>
    <w:p w14:paraId="004FC69F">
      <w:pPr>
        <w:keepNext w:val="0"/>
        <w:keepLines w:val="0"/>
        <w:pageBreakBefore w:val="0"/>
        <w:kinsoku/>
        <w:wordWrap/>
        <w:overflowPunct/>
        <w:topLinePunct w:val="0"/>
        <w:autoSpaceDE/>
        <w:autoSpaceDN/>
        <w:bidi w:val="0"/>
        <w:adjustRightInd w:val="0"/>
        <w:snapToGrid w:val="0"/>
        <w:spacing w:beforeLines="50" w:line="240" w:lineRule="auto"/>
        <w:ind w:right="-109" w:rightChars="-52"/>
        <w:textAlignment w:val="auto"/>
        <w:rPr>
          <w:rFonts w:ascii="宋体" w:hAnsi="宋体"/>
          <w:bCs/>
          <w:color w:val="auto"/>
          <w:szCs w:val="21"/>
          <w:highlight w:val="none"/>
        </w:rPr>
      </w:pPr>
      <w:r>
        <w:rPr>
          <w:rFonts w:hint="eastAsia" w:ascii="宋体" w:hAnsi="宋体"/>
          <w:b/>
          <w:bCs/>
          <w:color w:val="auto"/>
          <w:szCs w:val="21"/>
          <w:highlight w:val="none"/>
        </w:rPr>
        <w:t>2.2澄清有关问题</w:t>
      </w:r>
    </w:p>
    <w:p w14:paraId="7A21B926">
      <w:pPr>
        <w:keepNext w:val="0"/>
        <w:keepLines w:val="0"/>
        <w:pageBreakBefore w:val="0"/>
        <w:kinsoku/>
        <w:wordWrap/>
        <w:overflowPunct/>
        <w:topLinePunct w:val="0"/>
        <w:autoSpaceDE/>
        <w:autoSpaceDN/>
        <w:bidi w:val="0"/>
        <w:adjustRightInd w:val="0"/>
        <w:snapToGrid w:val="0"/>
        <w:spacing w:beforeLines="50" w:line="24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2.2.1 对响应文件中含义不明确、同类问题表述不一致或者有明显文字和计算错误的内容，评审小组将以书面形式通知供应商作出必要的澄清、说明，但不得超出响应文件的范围或对响应文件做实质性的修改（计算错误修正除外）。评审小组不接受供应商主动提出的澄清、说明。</w:t>
      </w:r>
    </w:p>
    <w:p w14:paraId="4278FD23">
      <w:pPr>
        <w:keepNext w:val="0"/>
        <w:keepLines w:val="0"/>
        <w:pageBreakBefore w:val="0"/>
        <w:tabs>
          <w:tab w:val="left" w:pos="0"/>
        </w:tabs>
        <w:kinsoku/>
        <w:wordWrap/>
        <w:overflowPunct/>
        <w:topLinePunct w:val="0"/>
        <w:autoSpaceDE/>
        <w:autoSpaceDN/>
        <w:bidi w:val="0"/>
        <w:adjustRightInd w:val="0"/>
        <w:snapToGrid w:val="0"/>
        <w:spacing w:beforeLines="50" w:line="240" w:lineRule="auto"/>
        <w:ind w:firstLine="420" w:firstLineChars="200"/>
        <w:textAlignment w:val="auto"/>
        <w:rPr>
          <w:rFonts w:ascii="宋体" w:hAnsi="宋体"/>
          <w:bCs/>
          <w:color w:val="auto"/>
          <w:szCs w:val="21"/>
          <w:highlight w:val="none"/>
        </w:rPr>
      </w:pPr>
      <w:r>
        <w:rPr>
          <w:rFonts w:hint="eastAsia" w:ascii="宋体" w:hAnsi="宋体"/>
          <w:color w:val="auto"/>
          <w:szCs w:val="21"/>
          <w:highlight w:val="none"/>
        </w:rPr>
        <w:t>2.2.2供应商不得对下列内容</w:t>
      </w:r>
      <w:r>
        <w:rPr>
          <w:rFonts w:hint="eastAsia" w:ascii="宋体" w:hAnsi="宋体"/>
          <w:bCs/>
          <w:color w:val="auto"/>
          <w:szCs w:val="21"/>
          <w:highlight w:val="none"/>
        </w:rPr>
        <w:t>其进行澄清或补充：</w:t>
      </w:r>
    </w:p>
    <w:p w14:paraId="4A8F1118">
      <w:pPr>
        <w:keepNext w:val="0"/>
        <w:keepLines w:val="0"/>
        <w:pageBreakBefore w:val="0"/>
        <w:tabs>
          <w:tab w:val="left" w:pos="0"/>
        </w:tabs>
        <w:kinsoku/>
        <w:wordWrap/>
        <w:overflowPunct/>
        <w:topLinePunct w:val="0"/>
        <w:autoSpaceDE/>
        <w:autoSpaceDN/>
        <w:bidi w:val="0"/>
        <w:adjustRightInd w:val="0"/>
        <w:snapToGrid w:val="0"/>
        <w:spacing w:beforeLines="50" w:line="240" w:lineRule="auto"/>
        <w:ind w:firstLine="420" w:firstLineChars="200"/>
        <w:textAlignment w:val="auto"/>
        <w:rPr>
          <w:rFonts w:ascii="宋体" w:hAnsi="宋体"/>
          <w:bCs/>
          <w:color w:val="auto"/>
          <w:szCs w:val="21"/>
          <w:highlight w:val="none"/>
        </w:rPr>
      </w:pPr>
      <w:r>
        <w:rPr>
          <w:rFonts w:hint="eastAsia" w:ascii="宋体" w:hAnsi="宋体"/>
          <w:color w:val="auto"/>
          <w:szCs w:val="21"/>
          <w:highlight w:val="none"/>
        </w:rPr>
        <w:t>（1）开标时，</w:t>
      </w:r>
      <w:r>
        <w:rPr>
          <w:rFonts w:hint="eastAsia" w:ascii="宋体" w:hAnsi="宋体"/>
          <w:bCs/>
          <w:color w:val="auto"/>
          <w:szCs w:val="21"/>
          <w:highlight w:val="none"/>
        </w:rPr>
        <w:t>未宣读的投标价格。</w:t>
      </w:r>
    </w:p>
    <w:p w14:paraId="332C1928">
      <w:pPr>
        <w:keepNext w:val="0"/>
        <w:keepLines w:val="0"/>
        <w:pageBreakBefore w:val="0"/>
        <w:tabs>
          <w:tab w:val="left" w:pos="0"/>
        </w:tabs>
        <w:kinsoku/>
        <w:wordWrap/>
        <w:overflowPunct/>
        <w:topLinePunct w:val="0"/>
        <w:autoSpaceDE/>
        <w:autoSpaceDN/>
        <w:bidi w:val="0"/>
        <w:adjustRightInd w:val="0"/>
        <w:snapToGrid w:val="0"/>
        <w:spacing w:beforeLines="50" w:line="240" w:lineRule="auto"/>
        <w:ind w:firstLine="420" w:firstLineChars="200"/>
        <w:textAlignment w:val="auto"/>
        <w:rPr>
          <w:rFonts w:ascii="宋体" w:hAnsi="宋体"/>
          <w:bCs/>
          <w:color w:val="auto"/>
          <w:szCs w:val="21"/>
          <w:highlight w:val="none"/>
        </w:rPr>
      </w:pPr>
      <w:r>
        <w:rPr>
          <w:rFonts w:hint="eastAsia" w:ascii="宋体" w:hAnsi="宋体"/>
          <w:color w:val="auto"/>
          <w:szCs w:val="21"/>
          <w:highlight w:val="none"/>
        </w:rPr>
        <w:t>（2）不满足第一章投标须知第10.2</w:t>
      </w:r>
      <w:r>
        <w:rPr>
          <w:rFonts w:hint="eastAsia" w:ascii="宋体" w:hAnsi="宋体" w:cs="宋体"/>
          <w:color w:val="auto"/>
          <w:kern w:val="0"/>
          <w:szCs w:val="21"/>
          <w:highlight w:val="none"/>
          <w:lang w:val="zh-CN"/>
        </w:rPr>
        <w:t>款</w:t>
      </w:r>
      <w:r>
        <w:rPr>
          <w:rFonts w:hint="eastAsia" w:ascii="宋体" w:hAnsi="宋体"/>
          <w:bCs/>
          <w:color w:val="auto"/>
          <w:szCs w:val="21"/>
          <w:highlight w:val="none"/>
        </w:rPr>
        <w:t>规定的</w:t>
      </w:r>
      <w:r>
        <w:rPr>
          <w:rFonts w:hint="eastAsia" w:ascii="宋体" w:hAnsi="宋体"/>
          <w:color w:val="auto"/>
          <w:szCs w:val="21"/>
          <w:highlight w:val="none"/>
        </w:rPr>
        <w:t>实质性要求的</w:t>
      </w:r>
      <w:r>
        <w:rPr>
          <w:rFonts w:hint="eastAsia" w:ascii="宋体" w:hAnsi="宋体"/>
          <w:bCs/>
          <w:color w:val="auto"/>
          <w:szCs w:val="21"/>
          <w:highlight w:val="none"/>
        </w:rPr>
        <w:t>响应文件内容</w:t>
      </w:r>
      <w:r>
        <w:rPr>
          <w:rFonts w:hint="eastAsia" w:ascii="宋体" w:hAnsi="宋体"/>
          <w:color w:val="auto"/>
          <w:szCs w:val="21"/>
          <w:highlight w:val="none"/>
        </w:rPr>
        <w:t>，</w:t>
      </w:r>
    </w:p>
    <w:p w14:paraId="179D8E1F">
      <w:pPr>
        <w:keepNext w:val="0"/>
        <w:keepLines w:val="0"/>
        <w:pageBreakBefore w:val="0"/>
        <w:tabs>
          <w:tab w:val="left" w:pos="0"/>
        </w:tabs>
        <w:kinsoku/>
        <w:wordWrap/>
        <w:overflowPunct/>
        <w:topLinePunct w:val="0"/>
        <w:autoSpaceDE/>
        <w:autoSpaceDN/>
        <w:bidi w:val="0"/>
        <w:adjustRightInd w:val="0"/>
        <w:snapToGrid w:val="0"/>
        <w:spacing w:beforeLines="50" w:line="24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2.2.3 计算错误将按以下方法修正：如果响应文件的大写金额和小写金额不一致的，以大写金额为准；总价金额与按单价汇总金额不一致的，以单价金额计算结果为准；单价金额小数点有明显错位的，应以总价为准，并修改单价；若文字大写表示的数据与数字表示的有差别，则以文字大写表示的数据为准。若供应商拒绝接受上述修正，在评审时将其视为无效响应。</w:t>
      </w:r>
    </w:p>
    <w:p w14:paraId="3EC86AB8">
      <w:pPr>
        <w:keepNext w:val="0"/>
        <w:keepLines w:val="0"/>
        <w:pageBreakBefore w:val="0"/>
        <w:tabs>
          <w:tab w:val="left" w:pos="0"/>
        </w:tabs>
        <w:kinsoku/>
        <w:wordWrap/>
        <w:overflowPunct/>
        <w:topLinePunct w:val="0"/>
        <w:autoSpaceDE/>
        <w:autoSpaceDN/>
        <w:bidi w:val="0"/>
        <w:adjustRightInd w:val="0"/>
        <w:snapToGrid w:val="0"/>
        <w:spacing w:beforeLines="50" w:line="24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2.2.4 供应商的澄清、说明或者补正应该采用书面形式，由法定代表人或其授权的代理人签字，并按评审小组的通知要求递交。</w:t>
      </w:r>
    </w:p>
    <w:p w14:paraId="44FC9E8B">
      <w:pPr>
        <w:keepNext w:val="0"/>
        <w:keepLines w:val="0"/>
        <w:pageBreakBefore w:val="0"/>
        <w:tabs>
          <w:tab w:val="left" w:pos="0"/>
        </w:tabs>
        <w:kinsoku/>
        <w:wordWrap/>
        <w:overflowPunct/>
        <w:topLinePunct w:val="0"/>
        <w:autoSpaceDE/>
        <w:autoSpaceDN/>
        <w:bidi w:val="0"/>
        <w:adjustRightInd w:val="0"/>
        <w:snapToGrid w:val="0"/>
        <w:spacing w:beforeLines="50" w:line="24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2.2.5 有效的书面澄清材料，是响应文件的补充材料，成为响应文件的组成部分。</w:t>
      </w:r>
    </w:p>
    <w:p w14:paraId="238FA162">
      <w:pPr>
        <w:keepNext w:val="0"/>
        <w:keepLines w:val="0"/>
        <w:pageBreakBefore w:val="0"/>
        <w:tabs>
          <w:tab w:val="left" w:pos="0"/>
        </w:tabs>
        <w:kinsoku/>
        <w:wordWrap/>
        <w:overflowPunct/>
        <w:topLinePunct w:val="0"/>
        <w:autoSpaceDE/>
        <w:autoSpaceDN/>
        <w:bidi w:val="0"/>
        <w:adjustRightInd w:val="0"/>
        <w:snapToGrid w:val="0"/>
        <w:spacing w:beforeLines="50" w:line="240" w:lineRule="auto"/>
        <w:textAlignment w:val="auto"/>
        <w:rPr>
          <w:rFonts w:ascii="宋体" w:hAnsi="宋体"/>
          <w:b/>
          <w:bCs/>
          <w:color w:val="auto"/>
          <w:szCs w:val="21"/>
          <w:highlight w:val="none"/>
        </w:rPr>
      </w:pPr>
      <w:r>
        <w:rPr>
          <w:rFonts w:hint="eastAsia" w:ascii="宋体" w:hAnsi="宋体"/>
          <w:b/>
          <w:bCs/>
          <w:color w:val="auto"/>
          <w:szCs w:val="21"/>
          <w:highlight w:val="none"/>
        </w:rPr>
        <w:t>2.3 比较与评价</w:t>
      </w:r>
    </w:p>
    <w:p w14:paraId="45BC8941">
      <w:pPr>
        <w:keepNext w:val="0"/>
        <w:keepLines w:val="0"/>
        <w:pageBreakBefore w:val="0"/>
        <w:widowControl/>
        <w:kinsoku/>
        <w:wordWrap/>
        <w:overflowPunct/>
        <w:topLinePunct w:val="0"/>
        <w:autoSpaceDE/>
        <w:autoSpaceDN/>
        <w:bidi w:val="0"/>
        <w:adjustRightInd w:val="0"/>
        <w:snapToGrid w:val="0"/>
        <w:spacing w:beforeLines="50" w:line="240" w:lineRule="auto"/>
        <w:ind w:firstLine="420" w:firstLineChars="200"/>
        <w:jc w:val="left"/>
        <w:textAlignment w:val="auto"/>
        <w:rPr>
          <w:rFonts w:ascii="宋体" w:hAnsi="宋体"/>
          <w:bCs/>
          <w:color w:val="auto"/>
          <w:szCs w:val="21"/>
          <w:highlight w:val="none"/>
        </w:rPr>
      </w:pPr>
      <w:r>
        <w:rPr>
          <w:rFonts w:hint="eastAsia" w:ascii="宋体" w:hAnsi="宋体"/>
          <w:bCs/>
          <w:color w:val="auto"/>
          <w:szCs w:val="21"/>
          <w:highlight w:val="none"/>
        </w:rPr>
        <w:t>2.3.1评审小组应当从质量和服务均能满足</w:t>
      </w:r>
      <w:r>
        <w:rPr>
          <w:rFonts w:hint="eastAsia" w:ascii="宋体" w:hAnsi="宋体"/>
          <w:bCs/>
          <w:color w:val="auto"/>
          <w:szCs w:val="21"/>
          <w:highlight w:val="none"/>
          <w:lang w:eastAsia="zh-CN"/>
        </w:rPr>
        <w:t>采购文件</w:t>
      </w:r>
      <w:r>
        <w:rPr>
          <w:rFonts w:hint="eastAsia" w:ascii="宋体" w:hAnsi="宋体"/>
          <w:bCs/>
          <w:color w:val="auto"/>
          <w:szCs w:val="21"/>
          <w:highlight w:val="none"/>
        </w:rPr>
        <w:t>实质性响应要求的</w:t>
      </w:r>
      <w:r>
        <w:rPr>
          <w:rFonts w:hint="eastAsia" w:ascii="宋体" w:hAnsi="宋体"/>
          <w:bCs/>
          <w:color w:val="auto"/>
          <w:szCs w:val="21"/>
          <w:highlight w:val="none"/>
          <w:lang w:eastAsia="zh-CN"/>
        </w:rPr>
        <w:t>供应商</w:t>
      </w:r>
      <w:r>
        <w:rPr>
          <w:rFonts w:hint="eastAsia" w:ascii="宋体" w:hAnsi="宋体"/>
          <w:bCs/>
          <w:color w:val="auto"/>
          <w:szCs w:val="21"/>
          <w:highlight w:val="none"/>
        </w:rPr>
        <w:t>中，按照报价由低到高的顺序提出3名以上成交候选人，并编写评审报告。</w:t>
      </w:r>
    </w:p>
    <w:p w14:paraId="03D42FF7">
      <w:pPr>
        <w:keepNext w:val="0"/>
        <w:keepLines w:val="0"/>
        <w:pageBreakBefore w:val="0"/>
        <w:widowControl/>
        <w:kinsoku/>
        <w:wordWrap/>
        <w:overflowPunct/>
        <w:topLinePunct w:val="0"/>
        <w:autoSpaceDE/>
        <w:autoSpaceDN/>
        <w:bidi w:val="0"/>
        <w:adjustRightInd w:val="0"/>
        <w:snapToGrid w:val="0"/>
        <w:spacing w:beforeLines="50" w:line="240" w:lineRule="auto"/>
        <w:ind w:firstLine="420" w:firstLineChars="200"/>
        <w:jc w:val="left"/>
        <w:textAlignment w:val="auto"/>
        <w:rPr>
          <w:rFonts w:hint="eastAsia" w:ascii="宋体" w:hAnsi="宋体" w:eastAsia="宋体" w:cs="Times New Roman"/>
          <w:bCs/>
          <w:color w:val="auto"/>
          <w:szCs w:val="21"/>
          <w:highlight w:val="none"/>
          <w:lang w:eastAsia="zh-CN"/>
        </w:rPr>
        <w:sectPr>
          <w:pgSz w:w="11906" w:h="16838"/>
          <w:pgMar w:top="1417" w:right="1417" w:bottom="1417" w:left="1417" w:header="851" w:footer="567" w:gutter="0"/>
          <w:pgBorders>
            <w:top w:val="none" w:sz="0" w:space="0"/>
            <w:left w:val="none" w:sz="0" w:space="0"/>
            <w:bottom w:val="none" w:sz="0" w:space="0"/>
            <w:right w:val="none" w:sz="0" w:space="0"/>
          </w:pgBorders>
          <w:cols w:space="0" w:num="1"/>
          <w:docGrid w:type="lines" w:linePitch="312" w:charSpace="0"/>
        </w:sectPr>
      </w:pPr>
      <w:r>
        <w:rPr>
          <w:rFonts w:hint="eastAsia" w:ascii="宋体" w:hAnsi="宋体" w:eastAsia="宋体" w:cs="Times New Roman"/>
          <w:bCs/>
          <w:color w:val="auto"/>
          <w:szCs w:val="21"/>
          <w:highlight w:val="none"/>
        </w:rPr>
        <w:t>2.3.2 成交</w:t>
      </w:r>
      <w:r>
        <w:rPr>
          <w:rFonts w:hint="eastAsia" w:ascii="宋体" w:hAnsi="宋体" w:eastAsia="宋体" w:cs="Times New Roman"/>
          <w:bCs/>
          <w:color w:val="auto"/>
          <w:szCs w:val="21"/>
          <w:highlight w:val="none"/>
          <w:lang w:eastAsia="zh-CN"/>
        </w:rPr>
        <w:t>供应商</w:t>
      </w:r>
      <w:r>
        <w:rPr>
          <w:rFonts w:hint="eastAsia" w:ascii="宋体" w:hAnsi="宋体" w:eastAsia="宋体" w:cs="Times New Roman"/>
          <w:bCs/>
          <w:color w:val="auto"/>
          <w:szCs w:val="21"/>
          <w:highlight w:val="none"/>
        </w:rPr>
        <w:t>候选人并列的，按照第二章</w:t>
      </w:r>
      <w:r>
        <w:rPr>
          <w:rFonts w:hint="eastAsia" w:ascii="宋体" w:hAnsi="宋体" w:eastAsia="宋体" w:cs="Times New Roman"/>
          <w:bCs/>
          <w:color w:val="auto"/>
          <w:szCs w:val="21"/>
          <w:highlight w:val="none"/>
          <w:lang w:eastAsia="zh-CN"/>
        </w:rPr>
        <w:t>供应商</w:t>
      </w:r>
      <w:r>
        <w:rPr>
          <w:rFonts w:hint="eastAsia" w:ascii="宋体" w:hAnsi="宋体" w:eastAsia="宋体" w:cs="Times New Roman"/>
          <w:bCs/>
          <w:color w:val="auto"/>
          <w:szCs w:val="21"/>
          <w:highlight w:val="none"/>
        </w:rPr>
        <w:t>须知第24.2条规定的方式确定成交候选人排序</w:t>
      </w:r>
      <w:r>
        <w:rPr>
          <w:rFonts w:hint="eastAsia" w:ascii="宋体" w:hAnsi="宋体" w:eastAsia="宋体" w:cs="Times New Roman"/>
          <w:bCs/>
          <w:color w:val="auto"/>
          <w:szCs w:val="21"/>
          <w:highlight w:val="none"/>
          <w:lang w:eastAsia="zh-CN"/>
        </w:rPr>
        <w:t>。</w:t>
      </w:r>
    </w:p>
    <w:p w14:paraId="3712A526">
      <w:pPr>
        <w:pStyle w:val="13"/>
        <w:keepNext w:val="0"/>
        <w:keepLines w:val="0"/>
        <w:pageBreakBefore w:val="0"/>
        <w:widowControl w:val="0"/>
        <w:kinsoku/>
        <w:wordWrap/>
        <w:overflowPunct/>
        <w:topLinePunct w:val="0"/>
        <w:autoSpaceDE/>
        <w:autoSpaceDN/>
        <w:bidi w:val="0"/>
        <w:adjustRightInd w:val="0"/>
        <w:snapToGrid w:val="0"/>
        <w:spacing w:beforeLines="50" w:afterLines="50" w:line="240" w:lineRule="auto"/>
        <w:jc w:val="center"/>
        <w:textAlignment w:val="auto"/>
        <w:rPr>
          <w:rStyle w:val="29"/>
          <w:rFonts w:hAnsi="宋体" w:cs="宋体"/>
          <w:color w:val="auto"/>
          <w:sz w:val="32"/>
          <w:szCs w:val="32"/>
          <w:highlight w:val="none"/>
        </w:rPr>
      </w:pPr>
      <w:r>
        <w:rPr>
          <w:rStyle w:val="29"/>
          <w:rFonts w:hint="eastAsia" w:hAnsi="宋体" w:cs="宋体"/>
          <w:color w:val="auto"/>
          <w:sz w:val="32"/>
          <w:szCs w:val="32"/>
          <w:highlight w:val="none"/>
          <w:lang w:eastAsia="zh-CN"/>
        </w:rPr>
        <w:t>第四章</w:t>
      </w:r>
      <w:r>
        <w:rPr>
          <w:rStyle w:val="29"/>
          <w:rFonts w:hint="eastAsia" w:hAnsi="宋体" w:cs="宋体"/>
          <w:color w:val="auto"/>
          <w:sz w:val="32"/>
          <w:szCs w:val="32"/>
          <w:highlight w:val="none"/>
        </w:rPr>
        <w:t xml:space="preserve"> 采购需求</w:t>
      </w:r>
    </w:p>
    <w:p w14:paraId="1B006B3E">
      <w:pPr>
        <w:keepNext w:val="0"/>
        <w:keepLines w:val="0"/>
        <w:pageBreakBefore w:val="0"/>
        <w:widowControl w:val="0"/>
        <w:kinsoku/>
        <w:wordWrap/>
        <w:overflowPunct/>
        <w:topLinePunct w:val="0"/>
        <w:autoSpaceDE/>
        <w:autoSpaceDN/>
        <w:bidi w:val="0"/>
        <w:spacing w:line="240" w:lineRule="auto"/>
        <w:textAlignment w:val="auto"/>
        <w:rPr>
          <w:b/>
          <w:bCs/>
          <w:color w:val="auto"/>
          <w:highlight w:val="none"/>
        </w:rPr>
      </w:pPr>
      <w:r>
        <w:rPr>
          <w:rFonts w:hint="eastAsia"/>
          <w:b/>
          <w:bCs/>
          <w:color w:val="auto"/>
          <w:highlight w:val="none"/>
        </w:rPr>
        <w:t>一、项目概述：</w:t>
      </w:r>
    </w:p>
    <w:p w14:paraId="2BA35E16">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rPr>
        <w:t>1</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工程名称：株洲北斗应用与信息技术产业示范基地配套基础设施项目（一期）</w:t>
      </w:r>
    </w:p>
    <w:p w14:paraId="4BDE695C">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Times New Roman" w:hAnsi="Times New Roman" w:cs="Times New Roman"/>
          <w:color w:val="auto"/>
          <w:highlight w:val="none"/>
          <w:lang w:eastAsia="zh-CN"/>
        </w:rPr>
      </w:pPr>
      <w:r>
        <w:rPr>
          <w:rFonts w:hint="eastAsia"/>
          <w:color w:val="auto"/>
          <w:highlight w:val="none"/>
          <w:lang w:val="en-US" w:eastAsia="zh-CN"/>
        </w:rPr>
        <w:t>2</w:t>
      </w:r>
      <w:r>
        <w:rPr>
          <w:rFonts w:hint="eastAsia"/>
          <w:color w:val="auto"/>
          <w:highlight w:val="none"/>
        </w:rPr>
        <w:t>、</w:t>
      </w:r>
      <w:r>
        <w:rPr>
          <w:rFonts w:hint="eastAsia" w:ascii="Times New Roman" w:hAnsi="Times New Roman" w:cs="Times New Roman"/>
          <w:b/>
          <w:bCs/>
          <w:color w:val="FF0000"/>
          <w:highlight w:val="none"/>
        </w:rPr>
        <w:t>采购项目预算</w:t>
      </w:r>
      <w:r>
        <w:rPr>
          <w:rFonts w:hint="eastAsia" w:ascii="Times New Roman" w:hAnsi="Times New Roman" w:cs="Times New Roman"/>
          <w:b/>
          <w:bCs/>
          <w:color w:val="FF0000"/>
          <w:highlight w:val="none"/>
          <w:lang w:eastAsia="zh-CN"/>
        </w:rPr>
        <w:t>：</w:t>
      </w:r>
      <w:r>
        <w:rPr>
          <w:rFonts w:hint="eastAsia" w:ascii="宋体" w:hAnsi="宋体" w:cs="宋体"/>
          <w:b/>
          <w:bCs/>
          <w:color w:val="FF0000"/>
          <w:szCs w:val="21"/>
          <w:highlight w:val="yellow"/>
          <w:lang w:val="en-US" w:eastAsia="zh-CN"/>
        </w:rPr>
        <w:t>1382856</w:t>
      </w:r>
      <w:r>
        <w:rPr>
          <w:rFonts w:hint="eastAsia" w:ascii="宋体" w:hAnsi="宋体" w:cs="宋体"/>
          <w:b/>
          <w:bCs/>
          <w:color w:val="FF0000"/>
          <w:szCs w:val="21"/>
          <w:highlight w:val="none"/>
        </w:rPr>
        <w:t>元</w:t>
      </w:r>
    </w:p>
    <w:p w14:paraId="0CCAB779">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4</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工程地点：</w:t>
      </w:r>
      <w:r>
        <w:rPr>
          <w:rFonts w:hint="eastAsia" w:ascii="Times New Roman" w:hAnsi="Times New Roman" w:cs="Times New Roman"/>
          <w:color w:val="auto"/>
          <w:highlight w:val="none"/>
          <w:lang w:val="en-US" w:eastAsia="zh-CN"/>
        </w:rPr>
        <w:t>株洲经开区云田镇菖塘社区</w:t>
      </w:r>
    </w:p>
    <w:p w14:paraId="0E7BC30D">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5</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工程</w:t>
      </w:r>
      <w:r>
        <w:rPr>
          <w:rFonts w:hint="eastAsia" w:ascii="Times New Roman" w:hAnsi="Times New Roman" w:cs="Times New Roman"/>
          <w:color w:val="auto"/>
          <w:highlight w:val="none"/>
          <w:lang w:val="en-US" w:eastAsia="zh-CN"/>
        </w:rPr>
        <w:t>分包内容</w:t>
      </w:r>
      <w:r>
        <w:rPr>
          <w:rFonts w:hint="eastAsia" w:ascii="Times New Roman" w:hAnsi="Times New Roman" w:cs="Times New Roman"/>
          <w:color w:val="auto"/>
          <w:highlight w:val="none"/>
        </w:rPr>
        <w:t>：</w:t>
      </w:r>
      <w:r>
        <w:rPr>
          <w:rFonts w:hint="eastAsia" w:ascii="Times New Roman" w:hAnsi="Times New Roman" w:cs="Times New Roman"/>
          <w:color w:val="auto"/>
          <w:highlight w:val="none"/>
          <w:lang w:val="en-US" w:eastAsia="zh-CN"/>
        </w:rPr>
        <w:t>钢结构</w:t>
      </w:r>
      <w:r>
        <w:rPr>
          <w:rFonts w:hint="eastAsia" w:cs="Times New Roman"/>
          <w:color w:val="auto"/>
          <w:highlight w:val="none"/>
          <w:lang w:val="en-US" w:eastAsia="zh-CN"/>
        </w:rPr>
        <w:t>安装</w:t>
      </w:r>
    </w:p>
    <w:p w14:paraId="3678C75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宋体" w:hAnsi="宋体" w:eastAsia="宋体" w:cs="宋体"/>
          <w:sz w:val="28"/>
          <w:szCs w:val="28"/>
          <w:lang w:val="en-US" w:eastAsia="zh-CN"/>
        </w:rPr>
      </w:pPr>
      <w:r>
        <w:rPr>
          <w:rFonts w:hint="eastAsia" w:ascii="Times New Roman" w:hAnsi="Times New Roman" w:cs="Times New Roman"/>
          <w:color w:val="auto"/>
          <w:highlight w:val="none"/>
          <w:lang w:val="en-US" w:eastAsia="zh-CN"/>
        </w:rPr>
        <w:t>6</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工期：</w:t>
      </w:r>
      <w:r>
        <w:rPr>
          <w:rFonts w:hint="eastAsia" w:ascii="宋体" w:hAnsi="宋体" w:eastAsia="宋体" w:cs="宋体"/>
          <w:b/>
          <w:bCs/>
          <w:color w:val="auto"/>
          <w:highlight w:val="none"/>
          <w:lang w:val="en-US" w:eastAsia="zh-CN"/>
        </w:rPr>
        <w:t>满足项目部进度计划要求,2026年5月5日前完成1、2区钢结构工程；2026年</w:t>
      </w:r>
      <w:r>
        <w:rPr>
          <w:rFonts w:hint="eastAsia" w:ascii="宋体" w:hAnsi="宋体" w:cs="宋体"/>
          <w:b/>
          <w:bCs/>
          <w:color w:val="auto"/>
          <w:highlight w:val="none"/>
          <w:lang w:val="en-US" w:eastAsia="zh-CN"/>
        </w:rPr>
        <w:t>5</w:t>
      </w:r>
      <w:r>
        <w:rPr>
          <w:rFonts w:hint="eastAsia" w:ascii="宋体" w:hAnsi="宋体" w:eastAsia="宋体" w:cs="宋体"/>
          <w:b/>
          <w:bCs/>
          <w:color w:val="auto"/>
          <w:highlight w:val="none"/>
          <w:lang w:val="en-US" w:eastAsia="zh-CN"/>
        </w:rPr>
        <w:t>月</w:t>
      </w:r>
      <w:r>
        <w:rPr>
          <w:rFonts w:hint="eastAsia" w:ascii="宋体" w:hAnsi="宋体" w:cs="宋体"/>
          <w:b/>
          <w:bCs/>
          <w:color w:val="auto"/>
          <w:highlight w:val="none"/>
          <w:lang w:val="en-US" w:eastAsia="zh-CN"/>
        </w:rPr>
        <w:t>20</w:t>
      </w:r>
      <w:r>
        <w:rPr>
          <w:rFonts w:hint="eastAsia" w:ascii="宋体" w:hAnsi="宋体" w:eastAsia="宋体" w:cs="宋体"/>
          <w:b/>
          <w:bCs/>
          <w:color w:val="auto"/>
          <w:highlight w:val="none"/>
          <w:lang w:val="en-US" w:eastAsia="zh-CN"/>
        </w:rPr>
        <w:t>日完成项目部所有钢结构工程</w:t>
      </w:r>
      <w:r>
        <w:rPr>
          <w:rFonts w:hint="eastAsia" w:ascii="宋体" w:hAnsi="宋体" w:cs="宋体"/>
          <w:b/>
          <w:bCs/>
          <w:color w:val="auto"/>
          <w:highlight w:val="none"/>
          <w:lang w:val="en-US" w:eastAsia="zh-CN"/>
        </w:rPr>
        <w:t>安装</w:t>
      </w:r>
    </w:p>
    <w:p w14:paraId="46665754">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default" w:ascii="Times New Roman" w:hAnsi="Times New Roman" w:eastAsia="宋体" w:cs="Times New Roman"/>
          <w:b/>
          <w:bCs/>
          <w:color w:val="auto"/>
          <w:highlight w:val="none"/>
          <w:lang w:val="en-US" w:eastAsia="zh-CN"/>
        </w:rPr>
      </w:pPr>
      <w:r>
        <w:rPr>
          <w:rFonts w:hint="eastAsia" w:ascii="Times New Roman" w:hAnsi="Times New Roman" w:cs="Times New Roman"/>
          <w:b/>
          <w:bCs/>
          <w:color w:val="auto"/>
          <w:highlight w:val="none"/>
          <w:lang w:val="en-US" w:eastAsia="zh-CN"/>
        </w:rPr>
        <w:t>7</w:t>
      </w:r>
      <w:r>
        <w:rPr>
          <w:rFonts w:hint="eastAsia" w:ascii="Times New Roman" w:hAnsi="Times New Roman" w:cs="Times New Roman"/>
          <w:b/>
          <w:bCs/>
          <w:color w:val="auto"/>
          <w:highlight w:val="none"/>
          <w:lang w:eastAsia="zh-CN"/>
        </w:rPr>
        <w:t>、</w:t>
      </w:r>
      <w:r>
        <w:rPr>
          <w:rFonts w:hint="eastAsia" w:ascii="Times New Roman" w:hAnsi="Times New Roman" w:cs="Times New Roman"/>
          <w:b/>
          <w:bCs/>
          <w:color w:val="auto"/>
          <w:highlight w:val="none"/>
        </w:rPr>
        <w:t>参与投标的单位需自行落实工地附近租房</w:t>
      </w:r>
      <w:r>
        <w:rPr>
          <w:rFonts w:hint="eastAsia" w:ascii="Times New Roman" w:hAnsi="Times New Roman" w:cs="Times New Roman"/>
          <w:b/>
          <w:bCs/>
          <w:color w:val="auto"/>
          <w:highlight w:val="none"/>
          <w:lang w:eastAsia="zh-CN"/>
        </w:rPr>
        <w:t>、</w:t>
      </w:r>
      <w:r>
        <w:rPr>
          <w:rFonts w:hint="eastAsia" w:ascii="Times New Roman" w:hAnsi="Times New Roman" w:cs="Times New Roman"/>
          <w:b/>
          <w:bCs/>
          <w:color w:val="auto"/>
          <w:highlight w:val="none"/>
          <w:lang w:val="en-US" w:eastAsia="zh-CN"/>
        </w:rPr>
        <w:t>伙食等</w:t>
      </w:r>
      <w:r>
        <w:rPr>
          <w:rFonts w:hint="eastAsia" w:ascii="Times New Roman" w:hAnsi="Times New Roman" w:cs="Times New Roman"/>
          <w:b/>
          <w:bCs/>
          <w:color w:val="auto"/>
          <w:highlight w:val="none"/>
        </w:rPr>
        <w:t>情况</w:t>
      </w:r>
      <w:r>
        <w:rPr>
          <w:rFonts w:hint="eastAsia" w:ascii="Times New Roman" w:hAnsi="Times New Roman" w:cs="Times New Roman"/>
          <w:b/>
          <w:bCs/>
          <w:color w:val="auto"/>
          <w:highlight w:val="none"/>
          <w:lang w:val="en-US" w:eastAsia="zh-CN"/>
        </w:rPr>
        <w:t>,相关费用均包含在投标报价中，采购人不另行支付。</w:t>
      </w:r>
    </w:p>
    <w:p w14:paraId="18BCC6DB">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default" w:ascii="Times New Roman" w:hAnsi="Times New Roman" w:cs="Times New Roman"/>
          <w:b/>
          <w:bCs/>
          <w:color w:val="auto"/>
          <w:highlight w:val="yellow"/>
          <w:lang w:val="en-US" w:eastAsia="zh-CN"/>
        </w:rPr>
      </w:pPr>
      <w:r>
        <w:rPr>
          <w:rFonts w:hint="eastAsia" w:cs="Times New Roman"/>
          <w:b/>
          <w:bCs/>
          <w:color w:val="auto"/>
          <w:highlight w:val="yellow"/>
          <w:lang w:val="en-US" w:eastAsia="zh-CN"/>
        </w:rPr>
        <w:t>8、质量要求：合格</w:t>
      </w:r>
    </w:p>
    <w:p w14:paraId="090F4A26">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9</w:t>
      </w:r>
      <w:r>
        <w:rPr>
          <w:rFonts w:hint="eastAsia" w:ascii="Times New Roman" w:hAnsi="Times New Roman" w:cs="Times New Roman"/>
          <w:color w:val="auto"/>
          <w:highlight w:val="none"/>
          <w:lang w:val="en-US" w:eastAsia="zh-CN"/>
        </w:rPr>
        <w:t>、工程量：详见</w:t>
      </w:r>
      <w:r>
        <w:rPr>
          <w:rFonts w:hint="eastAsia" w:cs="Times New Roman"/>
          <w:color w:val="auto"/>
          <w:highlight w:val="none"/>
          <w:lang w:val="en-US" w:eastAsia="zh-CN"/>
        </w:rPr>
        <w:t>工程量清单</w:t>
      </w:r>
    </w:p>
    <w:p w14:paraId="06438FA1">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二、承包范围：</w:t>
      </w:r>
    </w:p>
    <w:p w14:paraId="7020613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u w:val="none" w:color="auto"/>
        </w:rPr>
      </w:pPr>
      <w:r>
        <w:rPr>
          <w:rFonts w:hint="eastAsia" w:ascii="宋体" w:hAnsi="宋体" w:eastAsia="宋体" w:cs="宋体"/>
          <w:color w:val="auto"/>
          <w:sz w:val="21"/>
          <w:szCs w:val="21"/>
          <w:highlight w:val="none"/>
          <w:u w:val="none" w:color="auto"/>
          <w:lang w:val="en-US" w:eastAsia="zh-CN"/>
        </w:rPr>
        <w:t>1、</w:t>
      </w:r>
      <w:r>
        <w:rPr>
          <w:rFonts w:hint="eastAsia" w:ascii="宋体" w:hAnsi="宋体" w:eastAsia="宋体" w:cs="宋体"/>
          <w:color w:val="auto"/>
          <w:sz w:val="21"/>
          <w:szCs w:val="21"/>
          <w:highlight w:val="none"/>
          <w:u w:val="none" w:color="auto"/>
        </w:rPr>
        <w:t>施工图纸所示的全部工作内容，包括但不限于清单范围内预埋铁件（螺栓）、钢柱、钢支架、彩钢板包封、镀锌钢板天沟、压型钢板屋面、钢构件防腐涂料、防火涂料、复合保温一体化墙板</w:t>
      </w:r>
      <w:r>
        <w:rPr>
          <w:rFonts w:hint="eastAsia" w:ascii="宋体" w:hAnsi="宋体" w:eastAsia="宋体" w:cs="宋体"/>
          <w:color w:val="auto"/>
          <w:sz w:val="21"/>
          <w:szCs w:val="21"/>
          <w:highlight w:val="none"/>
          <w:u w:val="none" w:color="auto"/>
          <w:lang w:eastAsia="zh-CN"/>
        </w:rPr>
        <w:t>、</w:t>
      </w:r>
      <w:r>
        <w:rPr>
          <w:rFonts w:hint="eastAsia" w:ascii="宋体" w:hAnsi="宋体" w:eastAsia="宋体" w:cs="宋体"/>
          <w:color w:val="auto"/>
          <w:sz w:val="21"/>
          <w:szCs w:val="21"/>
          <w:highlight w:val="none"/>
          <w:u w:val="none" w:color="auto"/>
        </w:rPr>
        <w:t>零星钢构件等</w:t>
      </w:r>
      <w:r>
        <w:rPr>
          <w:rFonts w:hint="eastAsia" w:ascii="宋体" w:hAnsi="宋体" w:cs="宋体"/>
          <w:color w:val="auto"/>
          <w:sz w:val="21"/>
          <w:szCs w:val="21"/>
          <w:highlight w:val="none"/>
          <w:u w:val="none" w:color="auto"/>
          <w:lang w:val="en-US" w:eastAsia="zh-CN"/>
        </w:rPr>
        <w:t>安装</w:t>
      </w:r>
      <w:r>
        <w:rPr>
          <w:rFonts w:hint="eastAsia" w:ascii="宋体" w:hAnsi="宋体" w:eastAsia="宋体" w:cs="宋体"/>
          <w:color w:val="auto"/>
          <w:sz w:val="21"/>
          <w:szCs w:val="21"/>
          <w:highlight w:val="none"/>
          <w:u w:val="none" w:color="auto"/>
        </w:rPr>
        <w:t>以及清单漏项的全</w:t>
      </w:r>
      <w:r>
        <w:rPr>
          <w:rFonts w:hint="eastAsia" w:ascii="宋体" w:hAnsi="宋体" w:cs="宋体"/>
          <w:color w:val="auto"/>
          <w:sz w:val="21"/>
          <w:szCs w:val="21"/>
          <w:highlight w:val="none"/>
          <w:u w:val="none" w:color="auto"/>
          <w:lang w:val="en-US" w:eastAsia="zh-CN"/>
        </w:rPr>
        <w:t>部安装</w:t>
      </w:r>
      <w:r>
        <w:rPr>
          <w:rFonts w:hint="eastAsia" w:ascii="宋体" w:hAnsi="宋体" w:eastAsia="宋体" w:cs="宋体"/>
          <w:color w:val="auto"/>
          <w:sz w:val="21"/>
          <w:szCs w:val="21"/>
          <w:highlight w:val="none"/>
          <w:u w:val="none" w:color="auto"/>
        </w:rPr>
        <w:t>内容。</w:t>
      </w:r>
    </w:p>
    <w:p w14:paraId="67795C6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lang w:val="en-US" w:eastAsia="zh-CN"/>
        </w:rPr>
        <w:t>2、</w:t>
      </w:r>
      <w:r>
        <w:rPr>
          <w:rFonts w:hint="eastAsia" w:ascii="宋体" w:hAnsi="宋体" w:eastAsia="宋体" w:cs="宋体"/>
          <w:bCs/>
          <w:color w:val="auto"/>
          <w:sz w:val="21"/>
          <w:szCs w:val="21"/>
          <w:highlight w:val="none"/>
          <w:u w:val="none"/>
        </w:rPr>
        <w:t>承包范围的</w:t>
      </w:r>
      <w:r>
        <w:rPr>
          <w:rFonts w:hint="eastAsia" w:ascii="宋体" w:hAnsi="宋体" w:cs="宋体"/>
          <w:bCs/>
          <w:color w:val="auto"/>
          <w:sz w:val="21"/>
          <w:szCs w:val="21"/>
          <w:highlight w:val="none"/>
          <w:u w:val="none"/>
          <w:lang w:val="en-US" w:eastAsia="zh-CN"/>
        </w:rPr>
        <w:t>钢结构安装</w:t>
      </w:r>
      <w:r>
        <w:rPr>
          <w:rFonts w:hint="eastAsia" w:ascii="宋体" w:hAnsi="宋体" w:eastAsia="宋体" w:cs="宋体"/>
          <w:bCs/>
          <w:color w:val="auto"/>
          <w:sz w:val="21"/>
          <w:szCs w:val="21"/>
          <w:highlight w:val="none"/>
          <w:u w:val="none"/>
        </w:rPr>
        <w:t>施工任务</w:t>
      </w:r>
    </w:p>
    <w:p w14:paraId="6E4E37B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3、项目部迎检，必须无条件配合，费用不再另外计算。</w:t>
      </w:r>
    </w:p>
    <w:p w14:paraId="4469CC0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三、承包内容：</w:t>
      </w:r>
    </w:p>
    <w:p w14:paraId="08C8728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lang w:val="en-US" w:eastAsia="zh-CN"/>
        </w:rPr>
        <w:t>1、</w:t>
      </w:r>
      <w:r>
        <w:rPr>
          <w:rFonts w:hint="eastAsia" w:ascii="宋体" w:hAnsi="宋体" w:eastAsia="宋体" w:cs="宋体"/>
          <w:bCs/>
          <w:color w:val="auto"/>
          <w:sz w:val="21"/>
          <w:szCs w:val="21"/>
          <w:highlight w:val="none"/>
          <w:u w:val="none"/>
        </w:rPr>
        <w:t>本工程</w:t>
      </w:r>
      <w:r>
        <w:rPr>
          <w:rFonts w:hint="eastAsia" w:ascii="宋体" w:hAnsi="宋体" w:eastAsia="宋体" w:cs="宋体"/>
          <w:bCs/>
          <w:color w:val="auto"/>
          <w:sz w:val="21"/>
          <w:szCs w:val="21"/>
          <w:highlight w:val="none"/>
          <w:u w:val="none"/>
          <w:lang w:val="en-US" w:eastAsia="zh-CN"/>
        </w:rPr>
        <w:t>施工</w:t>
      </w:r>
      <w:r>
        <w:rPr>
          <w:rFonts w:hint="eastAsia" w:ascii="宋体" w:hAnsi="宋体" w:eastAsia="宋体" w:cs="宋体"/>
          <w:bCs/>
          <w:color w:val="auto"/>
          <w:sz w:val="21"/>
          <w:szCs w:val="21"/>
          <w:highlight w:val="none"/>
          <w:u w:val="none"/>
        </w:rPr>
        <w:t>图设</w:t>
      </w:r>
      <w:r>
        <w:rPr>
          <w:rFonts w:hint="eastAsia" w:ascii="宋体" w:hAnsi="宋体" w:eastAsia="宋体" w:cs="宋体"/>
          <w:bCs/>
          <w:color w:val="auto"/>
          <w:sz w:val="21"/>
          <w:szCs w:val="21"/>
          <w:highlight w:val="none"/>
          <w:u w:val="none"/>
          <w:lang w:val="en-US" w:eastAsia="zh-CN"/>
        </w:rPr>
        <w:t>计</w:t>
      </w:r>
      <w:r>
        <w:rPr>
          <w:rFonts w:hint="eastAsia" w:ascii="宋体" w:hAnsi="宋体" w:eastAsia="宋体" w:cs="宋体"/>
          <w:bCs/>
          <w:color w:val="auto"/>
          <w:sz w:val="21"/>
          <w:szCs w:val="21"/>
          <w:highlight w:val="none"/>
          <w:u w:val="none"/>
        </w:rPr>
        <w:t>范围内所有的制安工作内容。包括材料吊运。</w:t>
      </w:r>
    </w:p>
    <w:p w14:paraId="5F37917F">
      <w:pPr>
        <w:pStyle w:val="7"/>
        <w:keepNext w:val="0"/>
        <w:keepLines w:val="0"/>
        <w:pageBreakBefore w:val="0"/>
        <w:widowControl w:val="0"/>
        <w:tabs>
          <w:tab w:val="left" w:pos="0"/>
          <w:tab w:val="left" w:pos="540"/>
          <w:tab w:val="left" w:pos="630"/>
          <w:tab w:val="left" w:pos="1440"/>
        </w:tabs>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宋体" w:eastAsia="宋体" w:cs="宋体"/>
          <w:color w:val="auto"/>
          <w:sz w:val="21"/>
          <w:szCs w:val="21"/>
          <w:highlight w:val="none"/>
          <w:u w:color="000000"/>
        </w:rPr>
      </w:pPr>
      <w:r>
        <w:rPr>
          <w:rFonts w:hint="eastAsia" w:ascii="宋体" w:hAnsi="宋体" w:eastAsia="宋体" w:cs="宋体"/>
          <w:bCs/>
          <w:color w:val="auto"/>
          <w:sz w:val="21"/>
          <w:szCs w:val="21"/>
          <w:highlight w:val="none"/>
          <w:u w:val="none"/>
          <w:lang w:val="en-US" w:eastAsia="zh-CN"/>
        </w:rPr>
        <w:t>2、</w:t>
      </w:r>
      <w:r>
        <w:rPr>
          <w:rFonts w:hint="eastAsia" w:ascii="宋体" w:hAnsi="宋体" w:eastAsia="宋体" w:cs="宋体"/>
          <w:color w:val="auto"/>
          <w:sz w:val="21"/>
          <w:szCs w:val="21"/>
          <w:highlight w:val="none"/>
          <w:u w:color="000000"/>
        </w:rPr>
        <w:t>负责钢结构工程技术、质量保证、管理资料的收集、整理和汇总工作,组卷向总承包单位移交，负责报请专业管理部门进行验收、检测,并确保检测、验收、备案按时通过，检测、验收等所有费用均由乙方承担。</w:t>
      </w:r>
    </w:p>
    <w:p w14:paraId="5354200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color="000000"/>
          <w:lang w:val="en-US" w:eastAsia="zh-CN"/>
        </w:rPr>
        <w:t>3、</w:t>
      </w:r>
      <w:r>
        <w:rPr>
          <w:rFonts w:hint="eastAsia" w:ascii="宋体" w:hAnsi="宋体" w:eastAsia="宋体" w:cs="宋体"/>
          <w:color w:val="auto"/>
          <w:kern w:val="0"/>
          <w:sz w:val="21"/>
          <w:szCs w:val="21"/>
          <w:highlight w:val="none"/>
          <w:u w:color="000000"/>
        </w:rPr>
        <w:t>本合同为固定单价合同，</w:t>
      </w:r>
      <w:r>
        <w:rPr>
          <w:rFonts w:hint="eastAsia" w:ascii="宋体" w:hAnsi="宋体" w:eastAsia="宋体" w:cs="宋体"/>
          <w:color w:val="auto"/>
          <w:kern w:val="0"/>
          <w:sz w:val="21"/>
          <w:szCs w:val="21"/>
          <w:highlight w:val="none"/>
          <w:lang w:val="en-US" w:eastAsia="zh-CN"/>
        </w:rPr>
        <w:t>施工期间单价不因市场价波动调整。</w:t>
      </w:r>
    </w:p>
    <w:p w14:paraId="1A51D5B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四、承包方式:</w:t>
      </w:r>
    </w:p>
    <w:p w14:paraId="0F1CE9D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color="000000"/>
        </w:rPr>
        <w:t>承包方式：</w:t>
      </w:r>
      <w:r>
        <w:rPr>
          <w:rFonts w:hint="eastAsia" w:ascii="宋体" w:hAnsi="宋体" w:eastAsia="宋体" w:cs="宋体"/>
          <w:color w:val="auto"/>
          <w:kern w:val="0"/>
          <w:sz w:val="21"/>
          <w:szCs w:val="21"/>
          <w:highlight w:val="none"/>
        </w:rPr>
        <w:t>包工、包检测、包验收（含消防验收）、包施工期间的各种资料报验（审）、包签证、包工程结算及竣工资料、包三级配电箱、及其所需的电缆电线、照明灯具、照明线、包小型机械、包进度、包工期、包质量、包保修、包安全、包现场文明施工、包工程验收质量达到合格标准、包完成合同工作内容所需的管理费、措施费、利润、赶工费、加班费、成品保护、安全及劳保用品、随手工具、机具、补贴、各类保险、劳动保护、环境保护、治理及采取措施、上交各项管理费、计划生育费、竣工后的维修、税费等所有费用，不再计取其它费用。</w:t>
      </w:r>
    </w:p>
    <w:p w14:paraId="0BB63F1F">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五</w:t>
      </w:r>
      <w:r>
        <w:rPr>
          <w:rFonts w:hint="eastAsia" w:ascii="宋体" w:hAnsi="宋体" w:eastAsia="宋体" w:cs="宋体"/>
          <w:b/>
          <w:color w:val="auto"/>
          <w:sz w:val="21"/>
          <w:szCs w:val="21"/>
          <w:highlight w:val="none"/>
          <w:lang w:val="en-US" w:eastAsia="zh-CN"/>
        </w:rPr>
        <w:t>、报价表格：</w:t>
      </w:r>
    </w:p>
    <w:p w14:paraId="7C3FA12D">
      <w:pPr>
        <w:pStyle w:val="19"/>
        <w:tabs>
          <w:tab w:val="left" w:pos="900"/>
        </w:tabs>
        <w:spacing w:before="0" w:beforeAutospacing="0" w:after="0" w:afterAutospacing="0" w:line="400" w:lineRule="exact"/>
        <w:jc w:val="center"/>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single"/>
          <w:lang w:val="en-US" w:eastAsia="zh-CN"/>
        </w:rPr>
        <w:t>株洲北斗应用与信息技术产业示范基地配套基础设施项目（一期）</w:t>
      </w:r>
    </w:p>
    <w:p w14:paraId="396F6536">
      <w:pPr>
        <w:pStyle w:val="19"/>
        <w:tabs>
          <w:tab w:val="left" w:pos="900"/>
        </w:tabs>
        <w:spacing w:before="0" w:beforeAutospacing="0" w:after="0" w:afterAutospacing="0" w:line="400" w:lineRule="exact"/>
        <w:jc w:val="center"/>
        <w:rPr>
          <w:rFonts w:hint="eastAsia" w:ascii="仿宋" w:hAnsi="仿宋" w:eastAsia="仿宋" w:cs="仿宋"/>
          <w:b/>
          <w:bCs/>
          <w:color w:val="auto"/>
          <w:kern w:val="0"/>
          <w:sz w:val="24"/>
          <w:szCs w:val="24"/>
          <w:highlight w:val="none"/>
          <w:u w:val="none" w:color="000000"/>
          <w:lang w:val="en-US" w:eastAsia="zh-CN" w:bidi="ar-SA"/>
        </w:rPr>
      </w:pPr>
      <w:r>
        <w:rPr>
          <w:rFonts w:hint="eastAsia" w:ascii="仿宋" w:hAnsi="仿宋" w:eastAsia="仿宋" w:cs="仿宋"/>
          <w:b/>
          <w:bCs/>
          <w:color w:val="auto"/>
          <w:kern w:val="0"/>
          <w:sz w:val="24"/>
          <w:szCs w:val="24"/>
          <w:highlight w:val="none"/>
          <w:u w:val="none" w:color="000000"/>
          <w:lang w:val="en-US" w:eastAsia="zh-CN" w:bidi="ar-SA"/>
        </w:rPr>
        <w:t>工程量清单</w:t>
      </w:r>
    </w:p>
    <w:tbl>
      <w:tblPr>
        <w:tblStyle w:val="20"/>
        <w:tblW w:w="937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1343"/>
        <w:gridCol w:w="2385"/>
        <w:gridCol w:w="802"/>
        <w:gridCol w:w="1125"/>
        <w:gridCol w:w="1080"/>
        <w:gridCol w:w="1556"/>
      </w:tblGrid>
      <w:tr w14:paraId="6D13A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51F57">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D52BC">
            <w:pPr>
              <w:keepNext w:val="0"/>
              <w:keepLines w:val="0"/>
              <w:widowControl/>
              <w:suppressLineNumbers w:val="0"/>
              <w:jc w:val="center"/>
              <w:textAlignment w:val="center"/>
              <w:rPr>
                <w:rFonts w:hint="default" w:ascii="楷体" w:hAnsi="楷体" w:eastAsia="楷体" w:cs="楷体"/>
                <w:b/>
                <w:bCs/>
                <w:i w:val="0"/>
                <w:iCs w:val="0"/>
                <w:color w:val="000000"/>
                <w:kern w:val="0"/>
                <w:sz w:val="24"/>
                <w:szCs w:val="24"/>
                <w:u w:val="none"/>
                <w:lang w:val="en-US" w:eastAsia="zh-CN" w:bidi="ar"/>
              </w:rPr>
            </w:pPr>
            <w:r>
              <w:rPr>
                <w:rFonts w:hint="eastAsia" w:ascii="楷体" w:hAnsi="楷体" w:eastAsia="楷体" w:cs="楷体"/>
                <w:b/>
                <w:bCs/>
                <w:i w:val="0"/>
                <w:iCs w:val="0"/>
                <w:color w:val="000000"/>
                <w:kern w:val="0"/>
                <w:sz w:val="24"/>
                <w:szCs w:val="24"/>
                <w:u w:val="none"/>
                <w:lang w:val="en-US" w:eastAsia="zh-CN" w:bidi="ar"/>
              </w:rPr>
              <w:t>内容</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9F75">
            <w:pPr>
              <w:keepNext w:val="0"/>
              <w:keepLines w:val="0"/>
              <w:widowControl/>
              <w:suppressLineNumbers w:val="0"/>
              <w:jc w:val="center"/>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工作内容</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0F80">
            <w:pPr>
              <w:keepNext w:val="0"/>
              <w:keepLines w:val="0"/>
              <w:widowControl/>
              <w:suppressLineNumbers w:val="0"/>
              <w:jc w:val="center"/>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单位</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D52C9">
            <w:pPr>
              <w:keepNext w:val="0"/>
              <w:keepLines w:val="0"/>
              <w:widowControl/>
              <w:suppressLineNumbers w:val="0"/>
              <w:jc w:val="center"/>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83B58">
            <w:pPr>
              <w:keepNext w:val="0"/>
              <w:keepLines w:val="0"/>
              <w:widowControl/>
              <w:suppressLineNumbers w:val="0"/>
              <w:jc w:val="both"/>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单价控价（元）</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4340E">
            <w:pPr>
              <w:keepNext w:val="0"/>
              <w:keepLines w:val="0"/>
              <w:widowControl/>
              <w:suppressLineNumbers w:val="0"/>
              <w:jc w:val="center"/>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总价控制价（元）</w:t>
            </w:r>
          </w:p>
        </w:tc>
      </w:tr>
      <w:tr w14:paraId="77A49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119D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4B81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钢结构安装费</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CB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auto"/>
                <w:sz w:val="24"/>
                <w:szCs w:val="24"/>
                <w:highlight w:val="none"/>
                <w:u w:val="none" w:color="auto"/>
              </w:rPr>
              <w:t>施工图纸所示的全部工作内容，包括但不限于清单范围内预埋铁件（螺栓）、钢柱、钢支架、彩钢板包封、镀锌钢板天沟、压型钢板屋面、钢构件防腐涂料、防火涂料、复合保温一体化墙板</w:t>
            </w:r>
            <w:r>
              <w:rPr>
                <w:rFonts w:hint="eastAsia" w:ascii="宋体" w:hAnsi="宋体" w:eastAsia="宋体" w:cs="宋体"/>
                <w:color w:val="auto"/>
                <w:sz w:val="24"/>
                <w:szCs w:val="24"/>
                <w:highlight w:val="none"/>
                <w:u w:val="none" w:color="auto"/>
                <w:lang w:eastAsia="zh-CN"/>
              </w:rPr>
              <w:t>、</w:t>
            </w:r>
            <w:r>
              <w:rPr>
                <w:rFonts w:hint="eastAsia" w:ascii="宋体" w:hAnsi="宋体" w:eastAsia="宋体" w:cs="宋体"/>
                <w:color w:val="auto"/>
                <w:sz w:val="24"/>
                <w:szCs w:val="24"/>
                <w:highlight w:val="none"/>
                <w:u w:val="none" w:color="auto"/>
              </w:rPr>
              <w:t>零星钢构件等</w:t>
            </w:r>
            <w:r>
              <w:rPr>
                <w:rFonts w:hint="eastAsia" w:ascii="宋体" w:hAnsi="宋体" w:eastAsia="宋体" w:cs="宋体"/>
                <w:color w:val="auto"/>
                <w:sz w:val="24"/>
                <w:szCs w:val="24"/>
                <w:highlight w:val="none"/>
                <w:u w:val="none" w:color="auto"/>
                <w:lang w:val="en-US" w:eastAsia="zh-CN"/>
              </w:rPr>
              <w:t>安装</w:t>
            </w:r>
            <w:r>
              <w:rPr>
                <w:rFonts w:hint="eastAsia" w:ascii="宋体" w:hAnsi="宋体" w:eastAsia="宋体" w:cs="宋体"/>
                <w:color w:val="auto"/>
                <w:sz w:val="24"/>
                <w:szCs w:val="24"/>
                <w:highlight w:val="none"/>
                <w:u w:val="none" w:color="auto"/>
              </w:rPr>
              <w:t>以及清单漏项的全</w:t>
            </w:r>
            <w:r>
              <w:rPr>
                <w:rFonts w:hint="eastAsia" w:ascii="宋体" w:hAnsi="宋体" w:eastAsia="宋体" w:cs="宋体"/>
                <w:color w:val="auto"/>
                <w:sz w:val="24"/>
                <w:szCs w:val="24"/>
                <w:highlight w:val="none"/>
                <w:u w:val="none" w:color="auto"/>
                <w:lang w:val="en-US" w:eastAsia="zh-CN"/>
              </w:rPr>
              <w:t>部安装</w:t>
            </w:r>
            <w:r>
              <w:rPr>
                <w:rFonts w:hint="eastAsia" w:ascii="宋体" w:hAnsi="宋体" w:eastAsia="宋体" w:cs="宋体"/>
                <w:color w:val="auto"/>
                <w:sz w:val="24"/>
                <w:szCs w:val="24"/>
                <w:highlight w:val="none"/>
                <w:u w:val="none" w:color="auto"/>
              </w:rPr>
              <w:t>内容。</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F47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8E6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1152.38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8786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4"/>
                <w:szCs w:val="24"/>
                <w:u w:val="none"/>
                <w:lang w:val="en-US" w:eastAsia="zh-CN" w:bidi="ar"/>
              </w:rPr>
              <w:t>1200</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5289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1382856</w:t>
            </w:r>
          </w:p>
        </w:tc>
      </w:tr>
      <w:tr w14:paraId="1AA8E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81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66B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26E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1382856</w:t>
            </w:r>
          </w:p>
        </w:tc>
      </w:tr>
    </w:tbl>
    <w:p w14:paraId="4CD9BC33">
      <w:pPr>
        <w:pStyle w:val="19"/>
        <w:tabs>
          <w:tab w:val="left" w:pos="900"/>
        </w:tabs>
        <w:spacing w:before="0" w:beforeAutospacing="0" w:after="0" w:afterAutospacing="0" w:line="400" w:lineRule="exact"/>
        <w:jc w:val="center"/>
        <w:rPr>
          <w:rFonts w:hint="eastAsia" w:ascii="仿宋" w:hAnsi="仿宋" w:eastAsia="仿宋" w:cs="仿宋"/>
          <w:b/>
          <w:bCs/>
          <w:color w:val="auto"/>
          <w:kern w:val="0"/>
          <w:sz w:val="24"/>
          <w:szCs w:val="24"/>
          <w:highlight w:val="none"/>
          <w:u w:val="none" w:color="000000"/>
          <w:lang w:val="en-US" w:eastAsia="zh-CN" w:bidi="ar-SA"/>
        </w:rPr>
      </w:pPr>
    </w:p>
    <w:p w14:paraId="3DE5FB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备注：1、</w:t>
      </w:r>
      <w:r>
        <w:rPr>
          <w:rFonts w:hint="eastAsia" w:ascii="宋体" w:hAnsi="宋体" w:eastAsia="宋体" w:cs="宋体"/>
          <w:color w:val="auto"/>
          <w:sz w:val="21"/>
          <w:szCs w:val="21"/>
          <w:highlight w:val="none"/>
        </w:rPr>
        <w:t>工程量清单中所列工程数量是作为报价的暂估数量，</w:t>
      </w:r>
      <w:r>
        <w:rPr>
          <w:rFonts w:hint="eastAsia" w:ascii="宋体" w:hAnsi="宋体" w:eastAsia="宋体" w:cs="宋体"/>
          <w:color w:val="auto"/>
          <w:sz w:val="21"/>
          <w:szCs w:val="21"/>
          <w:highlight w:val="none"/>
          <w:lang w:val="en-US" w:eastAsia="zh-CN"/>
        </w:rPr>
        <w:t>实际数量以现场完成合格且经项目部认可的工作量为准。</w:t>
      </w:r>
    </w:p>
    <w:p w14:paraId="136F36E9">
      <w:pPr>
        <w:keepNext w:val="0"/>
        <w:keepLines w:val="0"/>
        <w:pageBreakBefore w:val="0"/>
        <w:widowControl w:val="0"/>
        <w:numPr>
          <w:ilvl w:val="0"/>
          <w:numId w:val="3"/>
        </w:numPr>
        <w:kinsoku/>
        <w:wordWrap/>
        <w:overflowPunct/>
        <w:topLinePunct w:val="0"/>
        <w:autoSpaceDE/>
        <w:autoSpaceDN/>
        <w:bidi w:val="0"/>
        <w:adjustRightInd/>
        <w:snapToGrid/>
        <w:spacing w:line="240" w:lineRule="auto"/>
        <w:ind w:firstLine="630" w:firstLineChars="3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以上单价为综合单价，包含所有承包内容，未单独罗列价格的承包内容均包含在以上单价内。</w:t>
      </w:r>
    </w:p>
    <w:p w14:paraId="1B66F722">
      <w:pPr>
        <w:keepNext w:val="0"/>
        <w:keepLines w:val="0"/>
        <w:pageBreakBefore w:val="0"/>
        <w:widowControl w:val="0"/>
        <w:numPr>
          <w:ilvl w:val="0"/>
          <w:numId w:val="3"/>
        </w:numPr>
        <w:kinsoku/>
        <w:wordWrap/>
        <w:overflowPunct/>
        <w:topLinePunct w:val="0"/>
        <w:autoSpaceDE/>
        <w:autoSpaceDN/>
        <w:bidi w:val="0"/>
        <w:adjustRightInd/>
        <w:snapToGrid/>
        <w:spacing w:line="240" w:lineRule="auto"/>
        <w:ind w:firstLine="630" w:firstLineChars="3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所有材料的场内转运，包含在单价内不另行计价。</w:t>
      </w:r>
    </w:p>
    <w:p w14:paraId="16270CE5">
      <w:pPr>
        <w:keepNext w:val="0"/>
        <w:keepLines w:val="0"/>
        <w:pageBreakBefore w:val="0"/>
        <w:widowControl w:val="0"/>
        <w:numPr>
          <w:ilvl w:val="0"/>
          <w:numId w:val="3"/>
        </w:numPr>
        <w:kinsoku/>
        <w:wordWrap/>
        <w:overflowPunct/>
        <w:topLinePunct w:val="0"/>
        <w:autoSpaceDE/>
        <w:autoSpaceDN/>
        <w:bidi w:val="0"/>
        <w:adjustRightInd/>
        <w:snapToGrid/>
        <w:spacing w:line="240" w:lineRule="auto"/>
        <w:ind w:firstLine="630" w:firstLineChars="3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在项目围墙外安全、治安、交通、疾病等一切事故，项目部一概不负责任。</w:t>
      </w:r>
    </w:p>
    <w:p w14:paraId="5F051672">
      <w:pPr>
        <w:keepNext w:val="0"/>
        <w:keepLines w:val="0"/>
        <w:pageBreakBefore w:val="0"/>
        <w:widowControl w:val="0"/>
        <w:numPr>
          <w:ilvl w:val="0"/>
          <w:numId w:val="3"/>
        </w:numPr>
        <w:kinsoku/>
        <w:wordWrap/>
        <w:overflowPunct/>
        <w:topLinePunct w:val="0"/>
        <w:autoSpaceDE/>
        <w:autoSpaceDN/>
        <w:bidi w:val="0"/>
        <w:adjustRightInd/>
        <w:snapToGrid/>
        <w:spacing w:line="240" w:lineRule="auto"/>
        <w:ind w:firstLine="630" w:firstLineChars="3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道工序应做到工完场清，剩余的所有材料应当时回收利用，废料、垃圾清运至底层指定地点，不得留有碎屑在各层板面和在施工作业区内。如未做到工完场清，项目部有权派人进行清理，其工费按双倍从结算总价中扣除。</w:t>
      </w:r>
    </w:p>
    <w:p w14:paraId="286BD909">
      <w:pPr>
        <w:keepNext w:val="0"/>
        <w:keepLines w:val="0"/>
        <w:pageBreakBefore w:val="0"/>
        <w:widowControl w:val="0"/>
        <w:numPr>
          <w:ilvl w:val="0"/>
          <w:numId w:val="3"/>
        </w:numPr>
        <w:kinsoku/>
        <w:wordWrap/>
        <w:overflowPunct/>
        <w:topLinePunct w:val="0"/>
        <w:autoSpaceDE/>
        <w:autoSpaceDN/>
        <w:bidi w:val="0"/>
        <w:adjustRightInd/>
        <w:snapToGrid/>
        <w:spacing w:line="240" w:lineRule="auto"/>
        <w:ind w:firstLine="630" w:firstLineChars="3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以上价格为含税价格，增值税税率为9 %。钢结构搭设方式综合考虑在单价中，不再另外计价。</w:t>
      </w:r>
    </w:p>
    <w:p w14:paraId="6C0CB13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六、报价要求</w:t>
      </w:r>
    </w:p>
    <w:p w14:paraId="398FA9C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firstLine="420" w:firstLineChars="200"/>
        <w:textAlignment w:val="auto"/>
        <w:rPr>
          <w:rStyle w:val="52"/>
          <w:rFonts w:hint="eastAsia" w:ascii="宋体" w:hAnsi="宋体" w:cs="宋体"/>
          <w:b w:val="0"/>
          <w:bCs w:val="0"/>
          <w:color w:val="auto"/>
          <w:spacing w:val="0"/>
          <w:sz w:val="21"/>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Style w:val="52"/>
          <w:rFonts w:hint="eastAsia" w:ascii="宋体" w:hAnsi="宋体" w:eastAsia="宋体" w:cs="宋体"/>
          <w:b/>
          <w:bCs/>
          <w:color w:val="auto"/>
          <w:spacing w:val="0"/>
          <w:sz w:val="21"/>
          <w:szCs w:val="21"/>
          <w:highlight w:val="none"/>
        </w:rPr>
        <w:t>本项目</w:t>
      </w:r>
      <w:r>
        <w:rPr>
          <w:rFonts w:hint="eastAsia"/>
          <w:b/>
          <w:bCs/>
          <w:color w:val="auto"/>
          <w:szCs w:val="21"/>
          <w:highlight w:val="none"/>
          <w:lang w:val="en-US" w:eastAsia="zh-CN"/>
        </w:rPr>
        <w:t>最高采购限价</w:t>
      </w:r>
      <w:r>
        <w:rPr>
          <w:rStyle w:val="52"/>
          <w:rFonts w:hint="eastAsia" w:ascii="宋体" w:hAnsi="宋体" w:eastAsia="宋体" w:cs="宋体"/>
          <w:b/>
          <w:bCs/>
          <w:color w:val="auto"/>
          <w:spacing w:val="0"/>
          <w:sz w:val="21"/>
          <w:szCs w:val="21"/>
          <w:highlight w:val="none"/>
          <w:lang w:val="en-US"/>
        </w:rPr>
        <w:t>总价</w:t>
      </w:r>
      <w:r>
        <w:rPr>
          <w:rStyle w:val="52"/>
          <w:rFonts w:hint="eastAsia" w:ascii="宋体" w:hAnsi="宋体" w:eastAsia="宋体" w:cs="宋体"/>
          <w:b/>
          <w:bCs/>
          <w:color w:val="auto"/>
          <w:spacing w:val="0"/>
          <w:sz w:val="21"/>
          <w:szCs w:val="21"/>
          <w:highlight w:val="none"/>
          <w:lang w:eastAsia="zh-CN"/>
        </w:rPr>
        <w:t>为</w:t>
      </w:r>
      <w:r>
        <w:rPr>
          <w:rStyle w:val="52"/>
          <w:rFonts w:hint="eastAsia" w:ascii="宋体" w:hAnsi="宋体" w:cs="宋体"/>
          <w:b/>
          <w:bCs/>
          <w:color w:val="auto"/>
          <w:spacing w:val="0"/>
          <w:sz w:val="21"/>
          <w:szCs w:val="21"/>
          <w:highlight w:val="yellow"/>
          <w:lang w:val="en-US" w:eastAsia="zh-CN"/>
        </w:rPr>
        <w:t>1382856</w:t>
      </w:r>
      <w:r>
        <w:rPr>
          <w:rStyle w:val="52"/>
          <w:rFonts w:hint="eastAsia" w:ascii="宋体" w:hAnsi="宋体" w:eastAsia="宋体" w:cs="宋体"/>
          <w:b/>
          <w:bCs/>
          <w:color w:val="auto"/>
          <w:spacing w:val="0"/>
          <w:sz w:val="21"/>
          <w:szCs w:val="21"/>
          <w:highlight w:val="yellow"/>
        </w:rPr>
        <w:t>元</w:t>
      </w:r>
      <w:r>
        <w:rPr>
          <w:rStyle w:val="52"/>
          <w:rFonts w:hint="eastAsia" w:ascii="宋体" w:hAnsi="宋体" w:eastAsia="宋体" w:cs="宋体"/>
          <w:b/>
          <w:bCs/>
          <w:color w:val="auto"/>
          <w:spacing w:val="0"/>
          <w:sz w:val="21"/>
          <w:szCs w:val="21"/>
          <w:highlight w:val="none"/>
        </w:rPr>
        <w:t>，</w:t>
      </w:r>
      <w:r>
        <w:rPr>
          <w:rStyle w:val="52"/>
          <w:rFonts w:hint="eastAsia" w:ascii="宋体" w:hAnsi="宋体" w:eastAsia="宋体" w:cs="宋体"/>
          <w:b w:val="0"/>
          <w:bCs w:val="0"/>
          <w:color w:val="auto"/>
          <w:spacing w:val="0"/>
          <w:sz w:val="21"/>
          <w:szCs w:val="21"/>
          <w:highlight w:val="none"/>
          <w:lang w:eastAsia="zh-CN"/>
        </w:rPr>
        <w:t>供应商</w:t>
      </w:r>
      <w:r>
        <w:rPr>
          <w:rFonts w:hint="eastAsia" w:ascii="宋体" w:hAnsi="宋体"/>
          <w:b w:val="0"/>
          <w:bCs w:val="0"/>
          <w:color w:val="auto"/>
          <w:szCs w:val="21"/>
          <w:highlight w:val="none"/>
          <w:lang w:eastAsia="zh-CN"/>
        </w:rPr>
        <w:t>报价超过</w:t>
      </w:r>
      <w:r>
        <w:rPr>
          <w:rFonts w:hint="eastAsia" w:ascii="宋体" w:hAnsi="宋体"/>
          <w:b w:val="0"/>
          <w:bCs w:val="0"/>
          <w:color w:val="auto"/>
          <w:szCs w:val="21"/>
          <w:highlight w:val="none"/>
          <w:lang w:val="en-US" w:eastAsia="zh-CN"/>
        </w:rPr>
        <w:t>采购</w:t>
      </w:r>
      <w:r>
        <w:rPr>
          <w:rFonts w:hint="eastAsia" w:ascii="宋体" w:hAnsi="宋体"/>
          <w:b w:val="0"/>
          <w:bCs w:val="0"/>
          <w:color w:val="auto"/>
          <w:szCs w:val="21"/>
          <w:highlight w:val="none"/>
          <w:lang w:eastAsia="zh-CN"/>
        </w:rPr>
        <w:t>上限值的，将视同未实质性响应竞争性谈判文件要求，其投标</w:t>
      </w:r>
      <w:r>
        <w:rPr>
          <w:rFonts w:hint="eastAsia" w:ascii="宋体" w:hAnsi="宋体" w:eastAsia="宋体" w:cs="宋体"/>
          <w:b w:val="0"/>
          <w:bCs w:val="0"/>
          <w:color w:val="auto"/>
          <w:szCs w:val="21"/>
          <w:highlight w:val="none"/>
          <w:lang w:eastAsia="zh-CN"/>
        </w:rPr>
        <w:t>将作</w:t>
      </w:r>
      <w:r>
        <w:rPr>
          <w:rFonts w:hint="eastAsia" w:ascii="宋体" w:hAnsi="宋体" w:eastAsia="宋体" w:cs="宋体"/>
          <w:b w:val="0"/>
          <w:bCs w:val="0"/>
          <w:color w:val="auto"/>
          <w:szCs w:val="21"/>
          <w:highlight w:val="none"/>
          <w:lang w:val="en-US" w:eastAsia="zh-CN"/>
        </w:rPr>
        <w:t>无效响应</w:t>
      </w:r>
      <w:r>
        <w:rPr>
          <w:rFonts w:hint="eastAsia" w:ascii="宋体" w:hAnsi="宋体" w:eastAsia="宋体" w:cs="宋体"/>
          <w:b w:val="0"/>
          <w:bCs w:val="0"/>
          <w:color w:val="auto"/>
          <w:szCs w:val="21"/>
          <w:highlight w:val="none"/>
          <w:lang w:eastAsia="zh-CN"/>
        </w:rPr>
        <w:t>处理</w:t>
      </w:r>
      <w:r>
        <w:rPr>
          <w:rStyle w:val="52"/>
          <w:rFonts w:hint="eastAsia" w:ascii="宋体" w:hAnsi="宋体" w:cs="宋体"/>
          <w:b w:val="0"/>
          <w:bCs w:val="0"/>
          <w:color w:val="auto"/>
          <w:spacing w:val="0"/>
          <w:sz w:val="21"/>
          <w:szCs w:val="21"/>
          <w:highlight w:val="none"/>
          <w:lang w:eastAsia="zh-CN"/>
        </w:rPr>
        <w:t>。</w:t>
      </w:r>
    </w:p>
    <w:p w14:paraId="21E61E9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firstLine="420" w:firstLineChars="200"/>
        <w:textAlignment w:val="auto"/>
        <w:rPr>
          <w:rFonts w:hint="eastAsia" w:ascii="宋体" w:hAnsi="宋体" w:cs="宋体"/>
          <w:color w:val="auto"/>
          <w:szCs w:val="21"/>
          <w:highlight w:val="none"/>
        </w:rPr>
      </w:pPr>
      <w:r>
        <w:rPr>
          <w:rFonts w:hint="eastAsia" w:ascii="宋体" w:hAnsi="宋体" w:cs="宋体"/>
          <w:b w:val="0"/>
          <w:bCs w:val="0"/>
          <w:color w:val="auto"/>
          <w:szCs w:val="21"/>
          <w:highlight w:val="none"/>
          <w:lang w:val="en-US" w:eastAsia="zh-CN"/>
        </w:rPr>
        <w:t>2.</w:t>
      </w:r>
      <w:r>
        <w:rPr>
          <w:rFonts w:hint="eastAsia" w:ascii="宋体" w:hAnsi="宋体" w:cs="宋体"/>
          <w:b w:val="0"/>
          <w:bCs w:val="0"/>
          <w:color w:val="auto"/>
          <w:szCs w:val="21"/>
          <w:highlight w:val="none"/>
          <w:lang w:eastAsia="zh-CN"/>
        </w:rPr>
        <w:t>供应商的</w:t>
      </w:r>
      <w:r>
        <w:rPr>
          <w:rFonts w:hint="eastAsia" w:ascii="宋体" w:hAnsi="宋体" w:cs="宋体"/>
          <w:b w:val="0"/>
          <w:bCs w:val="0"/>
          <w:color w:val="auto"/>
          <w:szCs w:val="21"/>
          <w:highlight w:val="none"/>
        </w:rPr>
        <w:t>报价是正确地完全履行采购内容及要求的价格体现，包括了提供所有服务所需的利润、税费、</w:t>
      </w:r>
      <w:r>
        <w:rPr>
          <w:rFonts w:hint="eastAsia" w:ascii="宋体" w:hAnsi="宋体" w:cs="宋体"/>
          <w:b w:val="0"/>
          <w:bCs w:val="0"/>
          <w:color w:val="auto"/>
          <w:szCs w:val="21"/>
          <w:highlight w:val="none"/>
          <w:lang w:eastAsia="zh-CN"/>
        </w:rPr>
        <w:t>管理费、安全文明措施费、</w:t>
      </w:r>
      <w:r>
        <w:rPr>
          <w:rFonts w:hint="eastAsia" w:ascii="宋体" w:hAnsi="宋体" w:cs="宋体"/>
          <w:b w:val="0"/>
          <w:bCs w:val="0"/>
          <w:color w:val="auto"/>
          <w:szCs w:val="21"/>
          <w:highlight w:val="none"/>
        </w:rPr>
        <w:t>其他不可预见费等各项全部费用，供应商应根据上述因素自行考虑含入响应报价</w:t>
      </w:r>
      <w:r>
        <w:rPr>
          <w:rFonts w:hint="eastAsia" w:ascii="宋体" w:hAnsi="宋体" w:cs="宋体"/>
          <w:color w:val="auto"/>
          <w:szCs w:val="21"/>
          <w:highlight w:val="none"/>
        </w:rPr>
        <w:t>。</w:t>
      </w:r>
    </w:p>
    <w:p w14:paraId="234DDB2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3.</w:t>
      </w:r>
      <w:r>
        <w:rPr>
          <w:rFonts w:hint="eastAsia" w:ascii="宋体" w:hAnsi="宋体"/>
          <w:b w:val="0"/>
          <w:bCs w:val="0"/>
          <w:color w:val="auto"/>
          <w:szCs w:val="21"/>
          <w:highlight w:val="none"/>
          <w:lang w:eastAsia="zh-CN"/>
        </w:rPr>
        <w:t>本</w:t>
      </w:r>
      <w:r>
        <w:rPr>
          <w:rFonts w:hint="eastAsia" w:ascii="宋体" w:hAnsi="宋体"/>
          <w:b w:val="0"/>
          <w:bCs w:val="0"/>
          <w:color w:val="auto"/>
          <w:szCs w:val="21"/>
          <w:highlight w:val="none"/>
          <w:lang w:val="en-US" w:eastAsia="zh-CN"/>
        </w:rPr>
        <w:t>项目</w:t>
      </w:r>
      <w:r>
        <w:rPr>
          <w:rFonts w:hint="eastAsia" w:ascii="宋体" w:hAnsi="宋体"/>
          <w:b w:val="0"/>
          <w:bCs w:val="0"/>
          <w:color w:val="auto"/>
          <w:szCs w:val="21"/>
          <w:highlight w:val="none"/>
          <w:lang w:eastAsia="zh-CN"/>
        </w:rPr>
        <w:t>采取固定单价的合同价格形式，在采购文件规定的服务期限内，除合同中另有约定外各项</w:t>
      </w:r>
      <w:r>
        <w:rPr>
          <w:rFonts w:hint="eastAsia" w:ascii="宋体" w:hAnsi="宋体"/>
          <w:b w:val="0"/>
          <w:bCs w:val="0"/>
          <w:color w:val="auto"/>
          <w:szCs w:val="21"/>
          <w:highlight w:val="none"/>
          <w:lang w:val="en-US" w:eastAsia="zh-CN"/>
        </w:rPr>
        <w:t>价格</w:t>
      </w:r>
      <w:r>
        <w:rPr>
          <w:rFonts w:hint="eastAsia" w:ascii="宋体" w:hAnsi="宋体"/>
          <w:b w:val="0"/>
          <w:bCs w:val="0"/>
          <w:color w:val="auto"/>
          <w:szCs w:val="21"/>
          <w:highlight w:val="none"/>
          <w:lang w:eastAsia="zh-CN"/>
        </w:rPr>
        <w:t>不作任何调整。</w:t>
      </w:r>
    </w:p>
    <w:p w14:paraId="72EB050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firstLine="420" w:firstLineChars="200"/>
        <w:textAlignment w:val="auto"/>
        <w:rPr>
          <w:rFonts w:hint="eastAsia"/>
          <w:b w:val="0"/>
          <w:bCs w:val="0"/>
          <w:color w:val="auto"/>
          <w:highlight w:val="none"/>
        </w:rPr>
      </w:pPr>
      <w:r>
        <w:rPr>
          <w:rFonts w:hint="eastAsia" w:ascii="宋体" w:hAnsi="宋体" w:cs="宋体"/>
          <w:b w:val="0"/>
          <w:bCs w:val="0"/>
          <w:color w:val="auto"/>
          <w:szCs w:val="21"/>
          <w:highlight w:val="none"/>
          <w:lang w:val="en-US" w:eastAsia="zh-CN"/>
        </w:rPr>
        <w:t>4.</w:t>
      </w:r>
      <w:r>
        <w:rPr>
          <w:rFonts w:hint="eastAsia" w:ascii="宋体" w:hAnsi="宋体" w:cs="宋体"/>
          <w:b w:val="0"/>
          <w:bCs w:val="0"/>
          <w:color w:val="auto"/>
          <w:szCs w:val="21"/>
          <w:highlight w:val="none"/>
        </w:rPr>
        <w:t>响应报价报出后，供应商不得以任何理由予以变更。任何包含价格调整的要求，将被认为是非实质性响应而予以拒绝。</w:t>
      </w:r>
    </w:p>
    <w:p w14:paraId="49DF7A0E">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Arial"/>
          <w:b/>
          <w:bCs/>
          <w:color w:val="auto"/>
          <w:szCs w:val="21"/>
          <w:highlight w:val="none"/>
          <w:lang w:val="zh-CN" w:eastAsia="zh-CN"/>
        </w:rPr>
      </w:pPr>
      <w:r>
        <w:rPr>
          <w:rFonts w:hint="eastAsia" w:ascii="宋体" w:hAnsi="宋体" w:cs="宋体"/>
          <w:b/>
          <w:color w:val="auto"/>
          <w:highlight w:val="none"/>
          <w:lang w:val="en-US" w:eastAsia="zh-CN"/>
        </w:rPr>
        <w:t>七</w:t>
      </w:r>
      <w:r>
        <w:rPr>
          <w:rFonts w:hint="eastAsia" w:ascii="宋体" w:hAnsi="宋体" w:eastAsia="宋体" w:cs="宋体"/>
          <w:b/>
          <w:color w:val="auto"/>
          <w:highlight w:val="none"/>
          <w:lang w:val="en-US" w:eastAsia="zh-CN"/>
        </w:rPr>
        <w:t>、</w:t>
      </w:r>
      <w:r>
        <w:rPr>
          <w:rFonts w:hint="eastAsia" w:ascii="宋体" w:hAnsi="宋体" w:eastAsia="宋体" w:cs="Arial"/>
          <w:b/>
          <w:bCs/>
          <w:color w:val="auto"/>
          <w:szCs w:val="21"/>
          <w:highlight w:val="none"/>
          <w:lang w:val="zh-CN" w:eastAsia="zh-CN"/>
        </w:rPr>
        <w:t>其他要求</w:t>
      </w:r>
    </w:p>
    <w:p w14:paraId="0C5F8831">
      <w:pPr>
        <w:pStyle w:val="19"/>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firstLine="420" w:firstLineChars="200"/>
        <w:jc w:val="left"/>
        <w:textAlignment w:val="auto"/>
        <w:rPr>
          <w:rFonts w:hint="eastAsia" w:ascii="宋体" w:hAnsi="宋体" w:eastAsia="宋体" w:cs="宋体"/>
          <w:color w:val="auto"/>
          <w:sz w:val="21"/>
          <w:szCs w:val="21"/>
          <w:highlight w:val="none"/>
        </w:rPr>
      </w:pPr>
      <w:r>
        <w:rPr>
          <w:rFonts w:hint="eastAsia" w:eastAsia="宋体" w:cs="宋体"/>
          <w:i w:val="0"/>
          <w:iCs w:val="0"/>
          <w:caps w:val="0"/>
          <w:color w:val="auto"/>
          <w:spacing w:val="0"/>
          <w:sz w:val="21"/>
          <w:szCs w:val="21"/>
          <w:highlight w:val="none"/>
          <w:shd w:val="clear" w:color="auto" w:fill="FFFFFF"/>
          <w:lang w:val="en-US" w:eastAsia="zh-CN"/>
        </w:rPr>
        <w:t>1.成交供应商</w:t>
      </w:r>
      <w:r>
        <w:rPr>
          <w:rFonts w:hint="eastAsia" w:ascii="宋体" w:hAnsi="宋体" w:eastAsia="宋体" w:cs="宋体"/>
          <w:i w:val="0"/>
          <w:iCs w:val="0"/>
          <w:caps w:val="0"/>
          <w:color w:val="auto"/>
          <w:spacing w:val="0"/>
          <w:sz w:val="21"/>
          <w:szCs w:val="21"/>
          <w:highlight w:val="none"/>
          <w:shd w:val="clear" w:color="auto" w:fill="FFFFFF"/>
        </w:rPr>
        <w:t>对</w:t>
      </w:r>
      <w:r>
        <w:rPr>
          <w:rFonts w:hint="eastAsia" w:ascii="宋体" w:hAnsi="宋体" w:eastAsia="宋体" w:cs="宋体"/>
          <w:b/>
          <w:bCs/>
          <w:i w:val="0"/>
          <w:iCs w:val="0"/>
          <w:caps w:val="0"/>
          <w:color w:val="auto"/>
          <w:spacing w:val="0"/>
          <w:sz w:val="21"/>
          <w:szCs w:val="21"/>
          <w:highlight w:val="none"/>
          <w:shd w:val="clear" w:color="auto" w:fill="FFFFFF"/>
        </w:rPr>
        <w:t>本合同范围内</w:t>
      </w:r>
      <w:r>
        <w:rPr>
          <w:rFonts w:hint="eastAsia" w:ascii="宋体" w:hAnsi="宋体" w:eastAsia="宋体" w:cs="宋体"/>
          <w:i w:val="0"/>
          <w:iCs w:val="0"/>
          <w:caps w:val="0"/>
          <w:color w:val="auto"/>
          <w:spacing w:val="0"/>
          <w:sz w:val="21"/>
          <w:szCs w:val="21"/>
          <w:highlight w:val="none"/>
          <w:shd w:val="clear" w:color="auto" w:fill="FFFFFF"/>
        </w:rPr>
        <w:t>的工程质量向</w:t>
      </w:r>
      <w:r>
        <w:rPr>
          <w:rFonts w:hint="eastAsia" w:eastAsia="宋体" w:cs="宋体"/>
          <w:i w:val="0"/>
          <w:iCs w:val="0"/>
          <w:caps w:val="0"/>
          <w:color w:val="auto"/>
          <w:spacing w:val="0"/>
          <w:sz w:val="21"/>
          <w:szCs w:val="21"/>
          <w:highlight w:val="none"/>
          <w:shd w:val="clear" w:color="auto" w:fill="FFFFFF"/>
          <w:lang w:eastAsia="zh-CN"/>
        </w:rPr>
        <w:t>采购</w:t>
      </w:r>
      <w:r>
        <w:rPr>
          <w:rFonts w:hint="eastAsia" w:ascii="宋体" w:hAnsi="宋体" w:eastAsia="宋体" w:cs="宋体"/>
          <w:i w:val="0"/>
          <w:iCs w:val="0"/>
          <w:caps w:val="0"/>
          <w:color w:val="auto"/>
          <w:spacing w:val="0"/>
          <w:sz w:val="21"/>
          <w:szCs w:val="21"/>
          <w:highlight w:val="none"/>
          <w:shd w:val="clear" w:color="auto" w:fill="FFFFFF"/>
        </w:rPr>
        <w:t>人负责，组织具有相应资格证书的熟练工人投入工作；自觉遵守法律法规及有关规章制度；</w:t>
      </w:r>
    </w:p>
    <w:p w14:paraId="1CADB5FB">
      <w:pPr>
        <w:pStyle w:val="19"/>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firstLine="420" w:firstLineChars="200"/>
        <w:jc w:val="left"/>
        <w:textAlignment w:val="auto"/>
        <w:rPr>
          <w:rFonts w:hint="eastAsia" w:ascii="宋体" w:hAnsi="宋体" w:eastAsia="宋体" w:cs="宋体"/>
          <w:color w:val="auto"/>
          <w:sz w:val="21"/>
          <w:szCs w:val="21"/>
          <w:highlight w:val="none"/>
        </w:rPr>
      </w:pPr>
      <w:r>
        <w:rPr>
          <w:rFonts w:hint="eastAsia" w:eastAsia="宋体" w:cs="宋体"/>
          <w:i w:val="0"/>
          <w:iCs w:val="0"/>
          <w:caps w:val="0"/>
          <w:color w:val="auto"/>
          <w:spacing w:val="0"/>
          <w:sz w:val="21"/>
          <w:szCs w:val="21"/>
          <w:highlight w:val="none"/>
          <w:shd w:val="clear" w:color="auto" w:fill="FFFFFF"/>
          <w:lang w:val="en-US" w:eastAsia="zh-CN"/>
        </w:rPr>
        <w:t>2.成交供应商</w:t>
      </w:r>
      <w:r>
        <w:rPr>
          <w:rFonts w:hint="eastAsia" w:eastAsia="宋体" w:cs="宋体"/>
          <w:i w:val="0"/>
          <w:iCs w:val="0"/>
          <w:caps w:val="0"/>
          <w:color w:val="auto"/>
          <w:spacing w:val="0"/>
          <w:sz w:val="21"/>
          <w:szCs w:val="21"/>
          <w:highlight w:val="none"/>
          <w:shd w:val="clear" w:color="auto" w:fill="FFFFFF"/>
          <w:lang w:eastAsia="zh-CN"/>
        </w:rPr>
        <w:t>应</w:t>
      </w:r>
      <w:r>
        <w:rPr>
          <w:rFonts w:hint="eastAsia" w:ascii="宋体" w:hAnsi="宋体" w:eastAsia="宋体" w:cs="宋体"/>
          <w:i w:val="0"/>
          <w:iCs w:val="0"/>
          <w:caps w:val="0"/>
          <w:color w:val="auto"/>
          <w:spacing w:val="0"/>
          <w:sz w:val="21"/>
          <w:szCs w:val="21"/>
          <w:highlight w:val="none"/>
          <w:shd w:val="clear" w:color="auto" w:fill="FFFFFF"/>
        </w:rPr>
        <w:t>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14:paraId="687705D3">
      <w:pPr>
        <w:pStyle w:val="19"/>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firstLine="420" w:firstLineChars="200"/>
        <w:jc w:val="left"/>
        <w:textAlignment w:val="auto"/>
        <w:rPr>
          <w:rFonts w:hint="eastAsia" w:ascii="宋体" w:hAnsi="宋体" w:eastAsia="宋体" w:cs="宋体"/>
          <w:color w:val="auto"/>
          <w:sz w:val="21"/>
          <w:szCs w:val="21"/>
          <w:highlight w:val="none"/>
        </w:rPr>
      </w:pPr>
      <w:r>
        <w:rPr>
          <w:rFonts w:hint="eastAsia" w:eastAsia="宋体" w:cs="宋体"/>
          <w:i w:val="0"/>
          <w:iCs w:val="0"/>
          <w:caps w:val="0"/>
          <w:color w:val="auto"/>
          <w:spacing w:val="0"/>
          <w:sz w:val="21"/>
          <w:szCs w:val="21"/>
          <w:highlight w:val="none"/>
          <w:shd w:val="clear" w:color="auto" w:fill="FFFFFF"/>
          <w:lang w:val="en-US" w:eastAsia="zh-CN"/>
        </w:rPr>
        <w:t>3.</w:t>
      </w:r>
      <w:r>
        <w:rPr>
          <w:rFonts w:hint="eastAsia" w:ascii="宋体" w:hAnsi="宋体" w:eastAsia="宋体" w:cs="宋体"/>
          <w:i w:val="0"/>
          <w:iCs w:val="0"/>
          <w:caps w:val="0"/>
          <w:color w:val="auto"/>
          <w:spacing w:val="0"/>
          <w:sz w:val="21"/>
          <w:szCs w:val="21"/>
          <w:highlight w:val="none"/>
          <w:shd w:val="clear" w:color="auto" w:fill="FFFFFF"/>
        </w:rPr>
        <w:t>自觉接受</w:t>
      </w:r>
      <w:r>
        <w:rPr>
          <w:rFonts w:hint="eastAsia" w:eastAsia="宋体" w:cs="宋体"/>
          <w:i w:val="0"/>
          <w:iCs w:val="0"/>
          <w:caps w:val="0"/>
          <w:color w:val="auto"/>
          <w:spacing w:val="0"/>
          <w:sz w:val="21"/>
          <w:szCs w:val="21"/>
          <w:highlight w:val="none"/>
          <w:shd w:val="clear" w:color="auto" w:fill="FFFFFF"/>
          <w:lang w:eastAsia="zh-CN"/>
        </w:rPr>
        <w:t>采购</w:t>
      </w:r>
      <w:r>
        <w:rPr>
          <w:rFonts w:hint="eastAsia" w:ascii="宋体" w:hAnsi="宋体" w:eastAsia="宋体" w:cs="宋体"/>
          <w:i w:val="0"/>
          <w:iCs w:val="0"/>
          <w:caps w:val="0"/>
          <w:color w:val="auto"/>
          <w:spacing w:val="0"/>
          <w:sz w:val="21"/>
          <w:szCs w:val="21"/>
          <w:highlight w:val="none"/>
          <w:shd w:val="clear" w:color="auto" w:fill="FFFFFF"/>
        </w:rPr>
        <w:t>人及有关部门的管理、监督和检查；接受</w:t>
      </w:r>
      <w:r>
        <w:rPr>
          <w:rFonts w:hint="eastAsia" w:eastAsia="宋体" w:cs="宋体"/>
          <w:i w:val="0"/>
          <w:iCs w:val="0"/>
          <w:caps w:val="0"/>
          <w:color w:val="auto"/>
          <w:spacing w:val="0"/>
          <w:sz w:val="21"/>
          <w:szCs w:val="21"/>
          <w:highlight w:val="none"/>
          <w:shd w:val="clear" w:color="auto" w:fill="FFFFFF"/>
          <w:lang w:eastAsia="zh-CN"/>
        </w:rPr>
        <w:t>采购</w:t>
      </w:r>
      <w:r>
        <w:rPr>
          <w:rFonts w:hint="eastAsia" w:ascii="宋体" w:hAnsi="宋体" w:eastAsia="宋体" w:cs="宋体"/>
          <w:i w:val="0"/>
          <w:iCs w:val="0"/>
          <w:caps w:val="0"/>
          <w:color w:val="auto"/>
          <w:spacing w:val="0"/>
          <w:sz w:val="21"/>
          <w:szCs w:val="21"/>
          <w:highlight w:val="none"/>
          <w:shd w:val="clear" w:color="auto" w:fill="FFFFFF"/>
        </w:rPr>
        <w:t>人随时检查其设备、材料保管、使用情况，及其操作人员的有效证件、持证上岗情况；与现场其他单位协调配合，照顾全局；</w:t>
      </w:r>
    </w:p>
    <w:p w14:paraId="27B4FDED">
      <w:pPr>
        <w:pStyle w:val="19"/>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firstLine="420" w:firstLineChars="200"/>
        <w:jc w:val="left"/>
        <w:textAlignment w:val="auto"/>
        <w:rPr>
          <w:rFonts w:hint="eastAsia" w:ascii="宋体" w:hAnsi="宋体" w:eastAsia="宋体" w:cs="宋体"/>
          <w:color w:val="auto"/>
          <w:sz w:val="21"/>
          <w:szCs w:val="21"/>
          <w:highlight w:val="none"/>
        </w:rPr>
      </w:pPr>
      <w:r>
        <w:rPr>
          <w:rFonts w:hint="eastAsia" w:eastAsia="宋体" w:cs="宋体"/>
          <w:i w:val="0"/>
          <w:iCs w:val="0"/>
          <w:caps w:val="0"/>
          <w:color w:val="auto"/>
          <w:spacing w:val="0"/>
          <w:sz w:val="21"/>
          <w:szCs w:val="21"/>
          <w:highlight w:val="none"/>
          <w:shd w:val="clear" w:color="auto" w:fill="FFFFFF"/>
          <w:lang w:val="en-US" w:eastAsia="zh-CN"/>
        </w:rPr>
        <w:t>4.</w:t>
      </w:r>
      <w:r>
        <w:rPr>
          <w:rFonts w:hint="eastAsia" w:ascii="宋体" w:hAnsi="宋体" w:eastAsia="宋体" w:cs="宋体"/>
          <w:i w:val="0"/>
          <w:iCs w:val="0"/>
          <w:caps w:val="0"/>
          <w:color w:val="auto"/>
          <w:spacing w:val="0"/>
          <w:sz w:val="21"/>
          <w:szCs w:val="21"/>
          <w:highlight w:val="none"/>
          <w:shd w:val="clear" w:color="auto" w:fill="FFFFFF"/>
        </w:rPr>
        <w:t>按</w:t>
      </w:r>
      <w:r>
        <w:rPr>
          <w:rFonts w:hint="eastAsia" w:eastAsia="宋体" w:cs="宋体"/>
          <w:i w:val="0"/>
          <w:iCs w:val="0"/>
          <w:caps w:val="0"/>
          <w:color w:val="auto"/>
          <w:spacing w:val="0"/>
          <w:sz w:val="21"/>
          <w:szCs w:val="21"/>
          <w:highlight w:val="none"/>
          <w:shd w:val="clear" w:color="auto" w:fill="FFFFFF"/>
          <w:lang w:eastAsia="zh-CN"/>
        </w:rPr>
        <w:t>采购</w:t>
      </w:r>
      <w:r>
        <w:rPr>
          <w:rFonts w:hint="eastAsia" w:ascii="宋体" w:hAnsi="宋体" w:eastAsia="宋体" w:cs="宋体"/>
          <w:i w:val="0"/>
          <w:iCs w:val="0"/>
          <w:caps w:val="0"/>
          <w:color w:val="auto"/>
          <w:spacing w:val="0"/>
          <w:sz w:val="21"/>
          <w:szCs w:val="21"/>
          <w:highlight w:val="none"/>
          <w:shd w:val="clear" w:color="auto" w:fill="FFFFFF"/>
        </w:rPr>
        <w:t>人统一规划堆放材料、机具，按</w:t>
      </w:r>
      <w:r>
        <w:rPr>
          <w:rFonts w:hint="eastAsia" w:eastAsia="宋体" w:cs="宋体"/>
          <w:i w:val="0"/>
          <w:iCs w:val="0"/>
          <w:caps w:val="0"/>
          <w:color w:val="auto"/>
          <w:spacing w:val="0"/>
          <w:sz w:val="21"/>
          <w:szCs w:val="21"/>
          <w:highlight w:val="none"/>
          <w:shd w:val="clear" w:color="auto" w:fill="FFFFFF"/>
          <w:lang w:eastAsia="zh-CN"/>
        </w:rPr>
        <w:t>采购</w:t>
      </w:r>
      <w:r>
        <w:rPr>
          <w:rFonts w:hint="eastAsia" w:ascii="宋体" w:hAnsi="宋体" w:eastAsia="宋体" w:cs="宋体"/>
          <w:i w:val="0"/>
          <w:iCs w:val="0"/>
          <w:caps w:val="0"/>
          <w:color w:val="auto"/>
          <w:spacing w:val="0"/>
          <w:sz w:val="21"/>
          <w:szCs w:val="21"/>
          <w:highlight w:val="none"/>
          <w:shd w:val="clear" w:color="auto" w:fill="FFFFFF"/>
        </w:rPr>
        <w:t>人标准化工地要求设置标牌，搞好生活区的管理，做好自身责任区的治安保卫工作；</w:t>
      </w:r>
    </w:p>
    <w:p w14:paraId="52BF3268">
      <w:pPr>
        <w:pStyle w:val="19"/>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firstLine="420" w:firstLineChars="200"/>
        <w:jc w:val="left"/>
        <w:textAlignment w:val="auto"/>
        <w:rPr>
          <w:rFonts w:hint="eastAsia" w:ascii="宋体" w:hAnsi="宋体" w:eastAsia="宋体" w:cs="宋体"/>
          <w:color w:val="auto"/>
          <w:sz w:val="21"/>
          <w:szCs w:val="21"/>
          <w:highlight w:val="none"/>
        </w:rPr>
      </w:pPr>
      <w:r>
        <w:rPr>
          <w:rFonts w:hint="eastAsia" w:eastAsia="宋体" w:cs="宋体"/>
          <w:i w:val="0"/>
          <w:iCs w:val="0"/>
          <w:caps w:val="0"/>
          <w:color w:val="auto"/>
          <w:spacing w:val="0"/>
          <w:sz w:val="21"/>
          <w:szCs w:val="21"/>
          <w:highlight w:val="none"/>
          <w:shd w:val="clear" w:color="auto" w:fill="FFFFFF"/>
          <w:lang w:val="en-US" w:eastAsia="zh-CN"/>
        </w:rPr>
        <w:t>5.</w:t>
      </w:r>
      <w:r>
        <w:rPr>
          <w:rFonts w:hint="eastAsia" w:ascii="宋体" w:hAnsi="宋体" w:eastAsia="宋体" w:cs="宋体"/>
          <w:i w:val="0"/>
          <w:iCs w:val="0"/>
          <w:caps w:val="0"/>
          <w:color w:val="auto"/>
          <w:spacing w:val="0"/>
          <w:sz w:val="21"/>
          <w:szCs w:val="21"/>
          <w:highlight w:val="none"/>
          <w:shd w:val="clear" w:color="auto" w:fill="FFFFFF"/>
        </w:rPr>
        <w:t>按时提交报表、完整的原始技术经济资料，配合</w:t>
      </w:r>
      <w:r>
        <w:rPr>
          <w:rFonts w:hint="eastAsia" w:eastAsia="宋体" w:cs="宋体"/>
          <w:i w:val="0"/>
          <w:iCs w:val="0"/>
          <w:caps w:val="0"/>
          <w:color w:val="auto"/>
          <w:spacing w:val="0"/>
          <w:sz w:val="21"/>
          <w:szCs w:val="21"/>
          <w:highlight w:val="none"/>
          <w:shd w:val="clear" w:color="auto" w:fill="FFFFFF"/>
          <w:lang w:eastAsia="zh-CN"/>
        </w:rPr>
        <w:t>采购</w:t>
      </w:r>
      <w:r>
        <w:rPr>
          <w:rFonts w:hint="eastAsia" w:ascii="宋体" w:hAnsi="宋体" w:eastAsia="宋体" w:cs="宋体"/>
          <w:i w:val="0"/>
          <w:iCs w:val="0"/>
          <w:caps w:val="0"/>
          <w:color w:val="auto"/>
          <w:spacing w:val="0"/>
          <w:sz w:val="21"/>
          <w:szCs w:val="21"/>
          <w:highlight w:val="none"/>
          <w:shd w:val="clear" w:color="auto" w:fill="FFFFFF"/>
        </w:rPr>
        <w:t>人办理交工验收；</w:t>
      </w:r>
    </w:p>
    <w:p w14:paraId="08087980">
      <w:pPr>
        <w:pStyle w:val="19"/>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firstLine="420" w:firstLineChars="200"/>
        <w:jc w:val="left"/>
        <w:textAlignment w:val="auto"/>
        <w:rPr>
          <w:rFonts w:hint="eastAsia" w:ascii="宋体" w:hAnsi="宋体" w:eastAsia="宋体" w:cs="宋体"/>
          <w:color w:val="auto"/>
          <w:sz w:val="21"/>
          <w:szCs w:val="21"/>
          <w:highlight w:val="none"/>
        </w:rPr>
      </w:pPr>
      <w:r>
        <w:rPr>
          <w:rFonts w:hint="eastAsia" w:eastAsia="宋体" w:cs="宋体"/>
          <w:i w:val="0"/>
          <w:iCs w:val="0"/>
          <w:caps w:val="0"/>
          <w:color w:val="auto"/>
          <w:spacing w:val="0"/>
          <w:sz w:val="21"/>
          <w:szCs w:val="21"/>
          <w:highlight w:val="none"/>
          <w:shd w:val="clear" w:color="auto" w:fill="FFFFFF"/>
          <w:lang w:val="en-US" w:eastAsia="zh-CN"/>
        </w:rPr>
        <w:t>6.</w:t>
      </w:r>
      <w:r>
        <w:rPr>
          <w:rFonts w:hint="eastAsia" w:ascii="宋体" w:hAnsi="宋体" w:eastAsia="宋体" w:cs="宋体"/>
          <w:i w:val="0"/>
          <w:iCs w:val="0"/>
          <w:caps w:val="0"/>
          <w:color w:val="auto"/>
          <w:spacing w:val="0"/>
          <w:sz w:val="21"/>
          <w:szCs w:val="21"/>
          <w:highlight w:val="none"/>
          <w:shd w:val="clear" w:color="auto" w:fill="FFFFFF"/>
        </w:rPr>
        <w:t>做好施工场地周围建筑物、构筑物和地下管线和已完工程部分的成品保护工作，因</w:t>
      </w:r>
      <w:r>
        <w:rPr>
          <w:rFonts w:hint="eastAsia" w:eastAsia="宋体" w:cs="宋体"/>
          <w:i w:val="0"/>
          <w:iCs w:val="0"/>
          <w:caps w:val="0"/>
          <w:color w:val="auto"/>
          <w:spacing w:val="0"/>
          <w:sz w:val="21"/>
          <w:szCs w:val="21"/>
          <w:highlight w:val="none"/>
          <w:shd w:val="clear" w:color="auto" w:fill="FFFFFF"/>
          <w:lang w:eastAsia="zh-CN"/>
        </w:rPr>
        <w:t>成交供应商</w:t>
      </w:r>
      <w:r>
        <w:rPr>
          <w:rFonts w:hint="eastAsia" w:ascii="宋体" w:hAnsi="宋体" w:eastAsia="宋体" w:cs="宋体"/>
          <w:i w:val="0"/>
          <w:iCs w:val="0"/>
          <w:caps w:val="0"/>
          <w:color w:val="auto"/>
          <w:spacing w:val="0"/>
          <w:sz w:val="21"/>
          <w:szCs w:val="21"/>
          <w:highlight w:val="none"/>
          <w:shd w:val="clear" w:color="auto" w:fill="FFFFFF"/>
        </w:rPr>
        <w:t>责任发生损坏，</w:t>
      </w:r>
      <w:r>
        <w:rPr>
          <w:rFonts w:hint="eastAsia" w:eastAsia="宋体" w:cs="宋体"/>
          <w:i w:val="0"/>
          <w:iCs w:val="0"/>
          <w:caps w:val="0"/>
          <w:color w:val="auto"/>
          <w:spacing w:val="0"/>
          <w:sz w:val="21"/>
          <w:szCs w:val="21"/>
          <w:highlight w:val="none"/>
          <w:shd w:val="clear" w:color="auto" w:fill="FFFFFF"/>
          <w:lang w:eastAsia="zh-CN"/>
        </w:rPr>
        <w:t>成交供应商</w:t>
      </w:r>
      <w:r>
        <w:rPr>
          <w:rFonts w:hint="eastAsia" w:ascii="宋体" w:hAnsi="宋体" w:eastAsia="宋体" w:cs="宋体"/>
          <w:i w:val="0"/>
          <w:iCs w:val="0"/>
          <w:caps w:val="0"/>
          <w:color w:val="auto"/>
          <w:spacing w:val="0"/>
          <w:sz w:val="21"/>
          <w:szCs w:val="21"/>
          <w:highlight w:val="none"/>
          <w:shd w:val="clear" w:color="auto" w:fill="FFFFFF"/>
        </w:rPr>
        <w:t>自行承担由此引起的一切经济损失及各种罚款；</w:t>
      </w:r>
    </w:p>
    <w:p w14:paraId="618CBC00">
      <w:pPr>
        <w:pStyle w:val="19"/>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firstLine="420" w:firstLineChars="200"/>
        <w:jc w:val="left"/>
        <w:textAlignment w:val="auto"/>
        <w:rPr>
          <w:rFonts w:hint="eastAsia" w:ascii="宋体" w:hAnsi="宋体" w:eastAsia="宋体" w:cs="宋体"/>
          <w:color w:val="auto"/>
          <w:sz w:val="21"/>
          <w:szCs w:val="21"/>
          <w:highlight w:val="none"/>
        </w:rPr>
      </w:pPr>
      <w:r>
        <w:rPr>
          <w:rFonts w:hint="eastAsia" w:eastAsia="宋体" w:cs="宋体"/>
          <w:i w:val="0"/>
          <w:iCs w:val="0"/>
          <w:caps w:val="0"/>
          <w:color w:val="auto"/>
          <w:spacing w:val="0"/>
          <w:sz w:val="21"/>
          <w:szCs w:val="21"/>
          <w:highlight w:val="none"/>
          <w:shd w:val="clear" w:color="auto" w:fill="FFFFFF"/>
          <w:lang w:val="en-US" w:eastAsia="zh-CN"/>
        </w:rPr>
        <w:t>7.</w:t>
      </w:r>
      <w:r>
        <w:rPr>
          <w:rFonts w:hint="eastAsia" w:ascii="宋体" w:hAnsi="宋体" w:eastAsia="宋体" w:cs="宋体"/>
          <w:i w:val="0"/>
          <w:iCs w:val="0"/>
          <w:caps w:val="0"/>
          <w:color w:val="auto"/>
          <w:spacing w:val="0"/>
          <w:sz w:val="21"/>
          <w:szCs w:val="21"/>
          <w:highlight w:val="none"/>
          <w:shd w:val="clear" w:color="auto" w:fill="FFFFFF"/>
        </w:rPr>
        <w:t>妥善保管、合理使用</w:t>
      </w:r>
      <w:r>
        <w:rPr>
          <w:rFonts w:hint="eastAsia" w:eastAsia="宋体" w:cs="宋体"/>
          <w:i w:val="0"/>
          <w:iCs w:val="0"/>
          <w:caps w:val="0"/>
          <w:color w:val="auto"/>
          <w:spacing w:val="0"/>
          <w:sz w:val="21"/>
          <w:szCs w:val="21"/>
          <w:highlight w:val="none"/>
          <w:shd w:val="clear" w:color="auto" w:fill="FFFFFF"/>
          <w:lang w:eastAsia="zh-CN"/>
        </w:rPr>
        <w:t>采购</w:t>
      </w:r>
      <w:r>
        <w:rPr>
          <w:rFonts w:hint="eastAsia" w:ascii="宋体" w:hAnsi="宋体" w:eastAsia="宋体" w:cs="宋体"/>
          <w:i w:val="0"/>
          <w:iCs w:val="0"/>
          <w:caps w:val="0"/>
          <w:color w:val="auto"/>
          <w:spacing w:val="0"/>
          <w:sz w:val="21"/>
          <w:szCs w:val="21"/>
          <w:highlight w:val="none"/>
          <w:shd w:val="clear" w:color="auto" w:fill="FFFFFF"/>
        </w:rPr>
        <w:t>人提供或租赁给</w:t>
      </w:r>
      <w:r>
        <w:rPr>
          <w:rFonts w:hint="eastAsia" w:eastAsia="宋体" w:cs="宋体"/>
          <w:i w:val="0"/>
          <w:iCs w:val="0"/>
          <w:caps w:val="0"/>
          <w:color w:val="auto"/>
          <w:spacing w:val="0"/>
          <w:sz w:val="21"/>
          <w:szCs w:val="21"/>
          <w:highlight w:val="none"/>
          <w:shd w:val="clear" w:color="auto" w:fill="FFFFFF"/>
          <w:lang w:eastAsia="zh-CN"/>
        </w:rPr>
        <w:t>成交供应商</w:t>
      </w:r>
      <w:r>
        <w:rPr>
          <w:rFonts w:hint="eastAsia" w:ascii="宋体" w:hAnsi="宋体" w:eastAsia="宋体" w:cs="宋体"/>
          <w:i w:val="0"/>
          <w:iCs w:val="0"/>
          <w:caps w:val="0"/>
          <w:color w:val="auto"/>
          <w:spacing w:val="0"/>
          <w:sz w:val="21"/>
          <w:szCs w:val="21"/>
          <w:highlight w:val="none"/>
          <w:shd w:val="clear" w:color="auto" w:fill="FFFFFF"/>
        </w:rPr>
        <w:t>使用的机具、周转材料及其他设施；</w:t>
      </w:r>
    </w:p>
    <w:p w14:paraId="38167FB1">
      <w:pPr>
        <w:pStyle w:val="19"/>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firstLine="420" w:firstLineChars="200"/>
        <w:jc w:val="left"/>
        <w:textAlignment w:val="auto"/>
        <w:rPr>
          <w:rFonts w:hint="eastAsia"/>
          <w:color w:val="auto"/>
          <w:highlight w:val="none"/>
          <w:lang w:val="en-US" w:eastAsia="zh-CN"/>
        </w:rPr>
      </w:pPr>
      <w:r>
        <w:rPr>
          <w:rFonts w:hint="eastAsia" w:eastAsia="宋体" w:cs="宋体"/>
          <w:i w:val="0"/>
          <w:iCs w:val="0"/>
          <w:caps w:val="0"/>
          <w:color w:val="auto"/>
          <w:spacing w:val="0"/>
          <w:sz w:val="21"/>
          <w:szCs w:val="21"/>
          <w:highlight w:val="none"/>
          <w:shd w:val="clear" w:color="auto" w:fill="FFFFFF"/>
          <w:lang w:val="en-US" w:eastAsia="zh-CN"/>
        </w:rPr>
        <w:t>8.</w:t>
      </w:r>
      <w:r>
        <w:rPr>
          <w:rFonts w:hint="eastAsia" w:eastAsia="宋体" w:cs="宋体"/>
          <w:i w:val="0"/>
          <w:iCs w:val="0"/>
          <w:caps w:val="0"/>
          <w:color w:val="auto"/>
          <w:spacing w:val="0"/>
          <w:sz w:val="21"/>
          <w:szCs w:val="21"/>
          <w:highlight w:val="none"/>
          <w:shd w:val="clear" w:color="auto" w:fill="FFFFFF"/>
          <w:lang w:eastAsia="zh-CN"/>
        </w:rPr>
        <w:t>成交供应商</w:t>
      </w:r>
      <w:r>
        <w:rPr>
          <w:rFonts w:hint="eastAsia" w:ascii="宋体" w:hAnsi="宋体" w:eastAsia="宋体" w:cs="宋体"/>
          <w:i w:val="0"/>
          <w:iCs w:val="0"/>
          <w:caps w:val="0"/>
          <w:color w:val="auto"/>
          <w:spacing w:val="0"/>
          <w:sz w:val="21"/>
          <w:szCs w:val="21"/>
          <w:highlight w:val="none"/>
          <w:shd w:val="clear" w:color="auto" w:fill="FFFFFF"/>
        </w:rPr>
        <w:t>应遵守工程建设安全生产有关管理规定，严格按安全标准进行施工，并随时接受行业安全检查人员依法实施的监督检查，采取必要的安全防护措施，消除事故隐患。由于</w:t>
      </w:r>
      <w:r>
        <w:rPr>
          <w:rFonts w:hint="eastAsia" w:eastAsia="宋体" w:cs="宋体"/>
          <w:i w:val="0"/>
          <w:iCs w:val="0"/>
          <w:caps w:val="0"/>
          <w:color w:val="auto"/>
          <w:spacing w:val="0"/>
          <w:sz w:val="21"/>
          <w:szCs w:val="21"/>
          <w:highlight w:val="none"/>
          <w:shd w:val="clear" w:color="auto" w:fill="FFFFFF"/>
          <w:lang w:eastAsia="zh-CN"/>
        </w:rPr>
        <w:t>成交供应商</w:t>
      </w:r>
      <w:r>
        <w:rPr>
          <w:rFonts w:hint="eastAsia" w:ascii="宋体" w:hAnsi="宋体" w:eastAsia="宋体" w:cs="宋体"/>
          <w:i w:val="0"/>
          <w:iCs w:val="0"/>
          <w:caps w:val="0"/>
          <w:color w:val="auto"/>
          <w:spacing w:val="0"/>
          <w:sz w:val="21"/>
          <w:szCs w:val="21"/>
          <w:highlight w:val="none"/>
          <w:shd w:val="clear" w:color="auto" w:fill="FFFFFF"/>
        </w:rPr>
        <w:t>安全措施不力造成事故的责任和因此而发生的费用，由</w:t>
      </w:r>
      <w:r>
        <w:rPr>
          <w:rFonts w:hint="eastAsia" w:eastAsia="宋体" w:cs="宋体"/>
          <w:i w:val="0"/>
          <w:iCs w:val="0"/>
          <w:caps w:val="0"/>
          <w:color w:val="auto"/>
          <w:spacing w:val="0"/>
          <w:sz w:val="21"/>
          <w:szCs w:val="21"/>
          <w:highlight w:val="none"/>
          <w:shd w:val="clear" w:color="auto" w:fill="FFFFFF"/>
          <w:lang w:eastAsia="zh-CN"/>
        </w:rPr>
        <w:t>成交供应商</w:t>
      </w:r>
      <w:r>
        <w:rPr>
          <w:rFonts w:hint="eastAsia" w:ascii="宋体" w:hAnsi="宋体" w:eastAsia="宋体" w:cs="宋体"/>
          <w:i w:val="0"/>
          <w:iCs w:val="0"/>
          <w:caps w:val="0"/>
          <w:color w:val="auto"/>
          <w:spacing w:val="0"/>
          <w:sz w:val="21"/>
          <w:szCs w:val="21"/>
          <w:highlight w:val="none"/>
          <w:shd w:val="clear" w:color="auto" w:fill="FFFFFF"/>
        </w:rPr>
        <w:t>承担。</w:t>
      </w:r>
    </w:p>
    <w:p w14:paraId="32C547D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仿宋" w:hAnsi="仿宋" w:eastAsia="仿宋" w:cs="仿宋"/>
          <w:color w:val="auto"/>
          <w:sz w:val="28"/>
          <w:szCs w:val="28"/>
          <w:highlight w:val="yellow"/>
          <w:u w:val="none"/>
          <w:lang w:val="en-US" w:eastAsia="zh-CN"/>
        </w:rPr>
      </w:pPr>
      <w:r>
        <w:rPr>
          <w:rFonts w:hint="eastAsia" w:ascii="宋体" w:hAnsi="宋体" w:cs="宋体"/>
          <w:i w:val="0"/>
          <w:iCs w:val="0"/>
          <w:caps w:val="0"/>
          <w:color w:val="auto"/>
          <w:spacing w:val="0"/>
          <w:kern w:val="0"/>
          <w:sz w:val="21"/>
          <w:szCs w:val="21"/>
          <w:highlight w:val="yellow"/>
          <w:shd w:val="clear" w:color="auto" w:fill="FFFFFF"/>
          <w:lang w:val="en-US" w:eastAsia="zh-CN" w:bidi="ar-SA"/>
        </w:rPr>
        <w:t>9</w:t>
      </w:r>
      <w:r>
        <w:rPr>
          <w:rFonts w:hint="eastAsia" w:ascii="宋体" w:hAnsi="宋体" w:eastAsia="宋体" w:cs="宋体"/>
          <w:i w:val="0"/>
          <w:iCs w:val="0"/>
          <w:caps w:val="0"/>
          <w:color w:val="auto"/>
          <w:spacing w:val="0"/>
          <w:kern w:val="0"/>
          <w:sz w:val="21"/>
          <w:szCs w:val="21"/>
          <w:highlight w:val="yellow"/>
          <w:shd w:val="clear" w:color="auto" w:fill="FFFFFF"/>
          <w:lang w:val="en-US" w:eastAsia="zh-CN" w:bidi="ar-SA"/>
        </w:rPr>
        <w:t>.合同签订后，工程进度款按月支付，每月支付经监理、发包人核定上月已完合格工程量造价的80%，且累计不得高于合同价的80%；项目竣工验收完成、提交完整的经发包人认可的结算资料和成套竣工资料(含竣工图及电子档)后，付至经审核产值的85%，且累计不得高于合同价的85%；项目完成结算终审后，累计支付至定案金额的97%;剩余3%作为质量保证金，待缺陷责任期满且完成质保验收，结算终审定案后承包人凭《质量保证金返还申请表》一次性无息付清。</w:t>
      </w:r>
    </w:p>
    <w:p w14:paraId="6E497BB8">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cs="宋体"/>
          <w:b/>
          <w:color w:val="auto"/>
          <w:highlight w:val="none"/>
          <w:lang w:val="en-US" w:eastAsia="zh-CN"/>
        </w:rPr>
      </w:pPr>
      <w:r>
        <w:rPr>
          <w:rFonts w:hint="eastAsia" w:ascii="宋体" w:hAnsi="宋体" w:cs="宋体"/>
          <w:b/>
          <w:color w:val="auto"/>
          <w:highlight w:val="none"/>
          <w:lang w:val="en-US" w:eastAsia="zh-CN"/>
        </w:rPr>
        <w:t>八、工程量清单说明</w:t>
      </w:r>
    </w:p>
    <w:p w14:paraId="3634C2E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i w:val="0"/>
          <w:iCs w:val="0"/>
          <w:caps w:val="0"/>
          <w:color w:val="auto"/>
          <w:spacing w:val="0"/>
          <w:kern w:val="0"/>
          <w:sz w:val="21"/>
          <w:szCs w:val="21"/>
          <w:highlight w:val="none"/>
          <w:shd w:val="clear" w:color="auto" w:fill="FFFFFF"/>
          <w:lang w:val="en-US" w:eastAsia="zh-CN" w:bidi="ar-SA"/>
        </w:rPr>
      </w:pPr>
      <w:r>
        <w:rPr>
          <w:rFonts w:hint="eastAsia" w:ascii="宋体" w:hAnsi="宋体" w:cs="宋体"/>
          <w:i w:val="0"/>
          <w:iCs w:val="0"/>
          <w:caps w:val="0"/>
          <w:color w:val="auto"/>
          <w:spacing w:val="0"/>
          <w:kern w:val="0"/>
          <w:sz w:val="21"/>
          <w:szCs w:val="21"/>
          <w:highlight w:val="none"/>
          <w:shd w:val="clear" w:color="auto" w:fill="FFFFFF"/>
          <w:lang w:val="en-US" w:eastAsia="zh-CN" w:bidi="ar-SA"/>
        </w:rPr>
        <w:t>1、工程量清单应与投标须知、合同条款、规范及图纸等文件结合起来查阅与理解。</w:t>
      </w:r>
    </w:p>
    <w:p w14:paraId="4F610FA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i w:val="0"/>
          <w:iCs w:val="0"/>
          <w:caps w:val="0"/>
          <w:color w:val="auto"/>
          <w:spacing w:val="0"/>
          <w:kern w:val="0"/>
          <w:sz w:val="21"/>
          <w:szCs w:val="21"/>
          <w:highlight w:val="none"/>
          <w:shd w:val="clear" w:color="auto" w:fill="FFFFFF"/>
          <w:lang w:val="en-US" w:eastAsia="zh-CN" w:bidi="ar-SA"/>
        </w:rPr>
      </w:pPr>
      <w:r>
        <w:rPr>
          <w:rFonts w:hint="eastAsia" w:ascii="宋体" w:hAnsi="宋体" w:cs="宋体"/>
          <w:i w:val="0"/>
          <w:iCs w:val="0"/>
          <w:caps w:val="0"/>
          <w:color w:val="auto"/>
          <w:spacing w:val="0"/>
          <w:kern w:val="0"/>
          <w:sz w:val="21"/>
          <w:szCs w:val="21"/>
          <w:highlight w:val="none"/>
          <w:shd w:val="clear" w:color="auto" w:fill="FFFFFF"/>
          <w:lang w:val="en-US" w:eastAsia="zh-CN" w:bidi="ar-SA"/>
        </w:rPr>
        <w:t>2、工程量清单中所列工程数量是作为报价的暂估数量，仅作为组成合同文件的共同基础，不能作为最终结算与支付的依据。实际支付应按乙方实际完成甲方技术交底范围内的合格工程量与工程量清单的单价计算支付金额。或者根据合同约定，按甲方核实批准的变更单价计算支付金额。</w:t>
      </w:r>
    </w:p>
    <w:p w14:paraId="1B45165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i w:val="0"/>
          <w:iCs w:val="0"/>
          <w:caps w:val="0"/>
          <w:color w:val="auto"/>
          <w:spacing w:val="0"/>
          <w:kern w:val="0"/>
          <w:sz w:val="21"/>
          <w:szCs w:val="21"/>
          <w:highlight w:val="none"/>
          <w:shd w:val="clear" w:color="auto" w:fill="FFFFFF"/>
          <w:lang w:val="en-US" w:eastAsia="zh-CN" w:bidi="ar-SA"/>
        </w:rPr>
      </w:pPr>
      <w:r>
        <w:rPr>
          <w:rFonts w:hint="eastAsia" w:ascii="宋体" w:hAnsi="宋体" w:cs="宋体"/>
          <w:i w:val="0"/>
          <w:iCs w:val="0"/>
          <w:caps w:val="0"/>
          <w:color w:val="auto"/>
          <w:spacing w:val="0"/>
          <w:kern w:val="0"/>
          <w:sz w:val="21"/>
          <w:szCs w:val="21"/>
          <w:highlight w:val="none"/>
          <w:shd w:val="clear" w:color="auto" w:fill="FFFFFF"/>
          <w:lang w:val="en-US" w:eastAsia="zh-CN" w:bidi="ar-SA"/>
        </w:rPr>
        <w:t>3、除非合同另有规定，工程量清单中有标价的单价均已包括了乙方为实施和完成合同工程所需乙方负责的劳务、材料、机械、质检（自检）、安装、缺陷修复、管理的费用以及保险、利润等全部费用，以及合同明示或暗示的所有责任、义务和一般风险。</w:t>
      </w:r>
    </w:p>
    <w:p w14:paraId="166619B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i w:val="0"/>
          <w:iCs w:val="0"/>
          <w:caps w:val="0"/>
          <w:color w:val="auto"/>
          <w:spacing w:val="0"/>
          <w:kern w:val="0"/>
          <w:sz w:val="21"/>
          <w:szCs w:val="21"/>
          <w:highlight w:val="none"/>
          <w:shd w:val="clear" w:color="auto" w:fill="FFFFFF"/>
          <w:lang w:val="en-US" w:eastAsia="zh-CN" w:bidi="ar-SA"/>
        </w:rPr>
      </w:pPr>
      <w:r>
        <w:rPr>
          <w:rFonts w:hint="eastAsia" w:ascii="宋体" w:hAnsi="宋体" w:cs="宋体"/>
          <w:i w:val="0"/>
          <w:iCs w:val="0"/>
          <w:caps w:val="0"/>
          <w:color w:val="auto"/>
          <w:spacing w:val="0"/>
          <w:kern w:val="0"/>
          <w:sz w:val="21"/>
          <w:szCs w:val="21"/>
          <w:highlight w:val="none"/>
          <w:shd w:val="clear" w:color="auto" w:fill="FFFFFF"/>
          <w:lang w:val="en-US" w:eastAsia="zh-CN" w:bidi="ar-SA"/>
        </w:rPr>
        <w:t>4、符合合同条款规定的全部费用应认为已被计入有标价的工程量清单所列的各细目之中，未列细目的工作不予计量，其费用应视为已分摊在本合同工程的有关细目的单价之中。乙方必须按施工图或甲方指令完成工程量清单中未填入数量、单价的工程细目，但不能得到额外的结算与支付，除非合同中未包含的新增和变更项目。</w:t>
      </w:r>
    </w:p>
    <w:p w14:paraId="56371D7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i w:val="0"/>
          <w:iCs w:val="0"/>
          <w:caps w:val="0"/>
          <w:color w:val="auto"/>
          <w:spacing w:val="0"/>
          <w:kern w:val="0"/>
          <w:sz w:val="21"/>
          <w:szCs w:val="21"/>
          <w:highlight w:val="none"/>
          <w:shd w:val="clear" w:color="auto" w:fill="FFFFFF"/>
          <w:lang w:val="en-US" w:eastAsia="zh-CN" w:bidi="ar-SA"/>
        </w:rPr>
      </w:pPr>
      <w:r>
        <w:rPr>
          <w:rFonts w:hint="eastAsia" w:ascii="宋体" w:hAnsi="宋体" w:cs="宋体"/>
          <w:i w:val="0"/>
          <w:iCs w:val="0"/>
          <w:caps w:val="0"/>
          <w:color w:val="auto"/>
          <w:spacing w:val="0"/>
          <w:kern w:val="0"/>
          <w:sz w:val="21"/>
          <w:szCs w:val="21"/>
          <w:highlight w:val="none"/>
          <w:shd w:val="clear" w:color="auto" w:fill="FFFFFF"/>
          <w:lang w:val="en-US" w:eastAsia="zh-CN" w:bidi="ar-SA"/>
        </w:rPr>
        <w:t>5、工程量清单中所列工程量的变动，丝毫不会降低或影响合同条款的效力，也不免除乙方按规定的标准进行施工和修复缺陷的责任。</w:t>
      </w:r>
    </w:p>
    <w:p w14:paraId="57ED955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i w:val="0"/>
          <w:iCs w:val="0"/>
          <w:caps w:val="0"/>
          <w:color w:val="auto"/>
          <w:spacing w:val="0"/>
          <w:kern w:val="0"/>
          <w:sz w:val="21"/>
          <w:szCs w:val="21"/>
          <w:highlight w:val="none"/>
          <w:shd w:val="clear" w:color="auto" w:fill="FFFFFF"/>
          <w:lang w:val="en-US" w:eastAsia="zh-CN" w:bidi="ar-SA"/>
        </w:rPr>
      </w:pPr>
      <w:r>
        <w:rPr>
          <w:rFonts w:hint="eastAsia" w:ascii="宋体" w:hAnsi="宋体" w:cs="宋体"/>
          <w:i w:val="0"/>
          <w:iCs w:val="0"/>
          <w:caps w:val="0"/>
          <w:color w:val="auto"/>
          <w:spacing w:val="0"/>
          <w:kern w:val="0"/>
          <w:sz w:val="21"/>
          <w:szCs w:val="21"/>
          <w:highlight w:val="none"/>
          <w:shd w:val="clear" w:color="auto" w:fill="FFFFFF"/>
          <w:lang w:val="en-US" w:eastAsia="zh-CN" w:bidi="ar-SA"/>
        </w:rPr>
        <w:t>6、乙方用于本合同工程的各类施工装备的提供、运输、拆卸、拼装等支付的费用，已包括在工程量清单的单价之中。</w:t>
      </w:r>
    </w:p>
    <w:p w14:paraId="14EAA53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i w:val="0"/>
          <w:iCs w:val="0"/>
          <w:caps w:val="0"/>
          <w:color w:val="auto"/>
          <w:spacing w:val="0"/>
          <w:kern w:val="0"/>
          <w:sz w:val="21"/>
          <w:szCs w:val="21"/>
          <w:highlight w:val="none"/>
          <w:shd w:val="clear" w:color="auto" w:fill="FFFFFF"/>
          <w:lang w:val="en-US" w:eastAsia="zh-CN" w:bidi="ar-SA"/>
        </w:rPr>
      </w:pPr>
      <w:r>
        <w:rPr>
          <w:rFonts w:hint="eastAsia" w:ascii="宋体" w:hAnsi="宋体" w:cs="宋体"/>
          <w:i w:val="0"/>
          <w:iCs w:val="0"/>
          <w:caps w:val="0"/>
          <w:color w:val="auto"/>
          <w:spacing w:val="0"/>
          <w:kern w:val="0"/>
          <w:sz w:val="21"/>
          <w:szCs w:val="21"/>
          <w:highlight w:val="none"/>
          <w:shd w:val="clear" w:color="auto" w:fill="FFFFFF"/>
          <w:lang w:val="en-US" w:eastAsia="zh-CN" w:bidi="ar-SA"/>
        </w:rPr>
        <w:t>7、计量时，图纸中所列的工程数量表及数量汇总表仅是提供资料，不是工程量清单的外延；当图纸所列工程数量与工程量清单所列数量不一致时，以甲方验收乙方实际完成施工图中的合格工程数量为准，但不得超出施工图纸中所列数量，除非有甲方的指示和批准。</w:t>
      </w:r>
    </w:p>
    <w:p w14:paraId="49B309A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宋体" w:hAnsi="宋体" w:cs="宋体"/>
          <w:i w:val="0"/>
          <w:iCs w:val="0"/>
          <w:caps w:val="0"/>
          <w:color w:val="auto"/>
          <w:spacing w:val="0"/>
          <w:kern w:val="0"/>
          <w:sz w:val="21"/>
          <w:szCs w:val="21"/>
          <w:highlight w:val="none"/>
          <w:shd w:val="clear" w:color="auto" w:fill="FFFFFF"/>
          <w:lang w:val="en-US" w:eastAsia="zh-CN" w:bidi="ar-SA"/>
        </w:rPr>
      </w:pPr>
      <w:r>
        <w:rPr>
          <w:rFonts w:hint="eastAsia" w:ascii="宋体" w:hAnsi="宋体" w:cs="宋体"/>
          <w:i w:val="0"/>
          <w:iCs w:val="0"/>
          <w:caps w:val="0"/>
          <w:color w:val="auto"/>
          <w:spacing w:val="0"/>
          <w:kern w:val="0"/>
          <w:sz w:val="21"/>
          <w:szCs w:val="21"/>
          <w:highlight w:val="none"/>
          <w:shd w:val="clear" w:color="auto" w:fill="FFFFFF"/>
          <w:lang w:val="en-US" w:eastAsia="zh-CN" w:bidi="ar-SA"/>
        </w:rPr>
        <w:t>8、工程量清单中各项金额均以人民币（元）为单位结算。</w:t>
      </w:r>
    </w:p>
    <w:p w14:paraId="5C293B88">
      <w:pPr>
        <w:spacing w:line="360" w:lineRule="auto"/>
        <w:rPr>
          <w:rFonts w:hint="eastAsia" w:ascii="Times New Roman" w:hAnsi="Times New Roman" w:eastAsia="宋体" w:cs="Times New Roman"/>
          <w:color w:val="auto"/>
          <w:kern w:val="2"/>
          <w:sz w:val="21"/>
          <w:szCs w:val="24"/>
          <w:highlight w:val="none"/>
          <w:lang w:val="en-US" w:eastAsia="zh-CN" w:bidi="ar-SA"/>
        </w:rPr>
      </w:pPr>
    </w:p>
    <w:p w14:paraId="4F9ACA42">
      <w:pPr>
        <w:spacing w:line="360" w:lineRule="auto"/>
        <w:rPr>
          <w:rFonts w:hint="eastAsia" w:ascii="Times New Roman" w:hAnsi="Times New Roman" w:eastAsia="宋体" w:cs="Times New Roman"/>
          <w:color w:val="auto"/>
          <w:kern w:val="2"/>
          <w:sz w:val="21"/>
          <w:szCs w:val="24"/>
          <w:highlight w:val="none"/>
          <w:lang w:val="en-US" w:eastAsia="zh-CN" w:bidi="ar-SA"/>
        </w:rPr>
      </w:pPr>
    </w:p>
    <w:p w14:paraId="439F0431">
      <w:pPr>
        <w:spacing w:line="360" w:lineRule="auto"/>
        <w:rPr>
          <w:rFonts w:hint="eastAsia" w:ascii="Times New Roman" w:hAnsi="Times New Roman" w:eastAsia="宋体" w:cs="Times New Roman"/>
          <w:color w:val="auto"/>
          <w:kern w:val="2"/>
          <w:sz w:val="21"/>
          <w:szCs w:val="24"/>
          <w:highlight w:val="none"/>
          <w:lang w:val="en-US" w:eastAsia="zh-CN" w:bidi="ar-SA"/>
        </w:rPr>
      </w:pPr>
    </w:p>
    <w:p w14:paraId="0AE59B04">
      <w:pPr>
        <w:spacing w:line="360" w:lineRule="auto"/>
        <w:rPr>
          <w:rFonts w:hint="eastAsia" w:ascii="Times New Roman" w:hAnsi="Times New Roman" w:eastAsia="宋体" w:cs="Times New Roman"/>
          <w:color w:val="auto"/>
          <w:kern w:val="2"/>
          <w:sz w:val="21"/>
          <w:szCs w:val="24"/>
          <w:highlight w:val="none"/>
          <w:lang w:val="en-US" w:eastAsia="zh-CN" w:bidi="ar-SA"/>
        </w:rPr>
      </w:pPr>
    </w:p>
    <w:p w14:paraId="28D66A85">
      <w:pPr>
        <w:spacing w:line="360" w:lineRule="auto"/>
        <w:rPr>
          <w:rFonts w:hint="eastAsia" w:ascii="Times New Roman" w:hAnsi="Times New Roman" w:eastAsia="宋体" w:cs="Times New Roman"/>
          <w:color w:val="auto"/>
          <w:kern w:val="2"/>
          <w:sz w:val="21"/>
          <w:szCs w:val="24"/>
          <w:highlight w:val="none"/>
          <w:lang w:val="en-US" w:eastAsia="zh-CN" w:bidi="ar-SA"/>
        </w:rPr>
      </w:pPr>
    </w:p>
    <w:p w14:paraId="408B8898">
      <w:pPr>
        <w:spacing w:line="360" w:lineRule="auto"/>
        <w:rPr>
          <w:rFonts w:hint="eastAsia" w:ascii="Times New Roman" w:hAnsi="Times New Roman" w:eastAsia="宋体" w:cs="Times New Roman"/>
          <w:color w:val="auto"/>
          <w:kern w:val="2"/>
          <w:sz w:val="21"/>
          <w:szCs w:val="24"/>
          <w:highlight w:val="none"/>
          <w:lang w:val="en-US" w:eastAsia="zh-CN" w:bidi="ar-SA"/>
        </w:rPr>
      </w:pPr>
    </w:p>
    <w:p w14:paraId="06080449">
      <w:pPr>
        <w:spacing w:line="360" w:lineRule="auto"/>
        <w:rPr>
          <w:rFonts w:hint="eastAsia" w:ascii="Times New Roman" w:hAnsi="Times New Roman" w:eastAsia="宋体" w:cs="Times New Roman"/>
          <w:color w:val="auto"/>
          <w:kern w:val="2"/>
          <w:sz w:val="21"/>
          <w:szCs w:val="24"/>
          <w:highlight w:val="none"/>
          <w:lang w:val="en-US" w:eastAsia="zh-CN" w:bidi="ar-SA"/>
        </w:rPr>
      </w:pPr>
    </w:p>
    <w:p w14:paraId="64D3558D">
      <w:pPr>
        <w:spacing w:line="360" w:lineRule="auto"/>
        <w:rPr>
          <w:rFonts w:hint="eastAsia" w:ascii="Times New Roman" w:hAnsi="Times New Roman" w:eastAsia="宋体" w:cs="Times New Roman"/>
          <w:color w:val="auto"/>
          <w:kern w:val="2"/>
          <w:sz w:val="21"/>
          <w:szCs w:val="24"/>
          <w:highlight w:val="none"/>
          <w:lang w:val="en-US" w:eastAsia="zh-CN" w:bidi="ar-SA"/>
        </w:rPr>
      </w:pPr>
    </w:p>
    <w:p w14:paraId="13542A14">
      <w:pPr>
        <w:spacing w:line="360" w:lineRule="auto"/>
        <w:rPr>
          <w:rFonts w:hint="eastAsia" w:ascii="Times New Roman" w:hAnsi="Times New Roman" w:eastAsia="宋体" w:cs="Times New Roman"/>
          <w:color w:val="auto"/>
          <w:kern w:val="2"/>
          <w:sz w:val="21"/>
          <w:szCs w:val="24"/>
          <w:highlight w:val="none"/>
          <w:lang w:val="en-US" w:eastAsia="zh-CN" w:bidi="ar-SA"/>
        </w:rPr>
      </w:pPr>
    </w:p>
    <w:p w14:paraId="19E6B2D1">
      <w:pPr>
        <w:spacing w:line="360" w:lineRule="auto"/>
        <w:rPr>
          <w:rFonts w:hint="eastAsia" w:ascii="Times New Roman" w:hAnsi="Times New Roman" w:eastAsia="宋体" w:cs="Times New Roman"/>
          <w:color w:val="auto"/>
          <w:kern w:val="2"/>
          <w:sz w:val="21"/>
          <w:szCs w:val="24"/>
          <w:highlight w:val="none"/>
          <w:lang w:val="en-US" w:eastAsia="zh-CN" w:bidi="ar-SA"/>
        </w:rPr>
      </w:pPr>
    </w:p>
    <w:p w14:paraId="260714C1">
      <w:pPr>
        <w:pStyle w:val="13"/>
        <w:adjustRightInd w:val="0"/>
        <w:snapToGrid w:val="0"/>
        <w:spacing w:beforeLines="50" w:afterLines="50" w:line="360" w:lineRule="auto"/>
        <w:jc w:val="center"/>
        <w:rPr>
          <w:rStyle w:val="29"/>
          <w:rFonts w:hAnsi="宋体" w:cs="宋体"/>
          <w:color w:val="auto"/>
          <w:sz w:val="32"/>
          <w:szCs w:val="32"/>
          <w:highlight w:val="none"/>
        </w:rPr>
      </w:pPr>
      <w:r>
        <w:rPr>
          <w:rStyle w:val="29"/>
          <w:rFonts w:hint="eastAsia" w:hAnsi="宋体" w:cs="宋体"/>
          <w:color w:val="auto"/>
          <w:sz w:val="32"/>
          <w:szCs w:val="32"/>
          <w:highlight w:val="none"/>
          <w:lang w:eastAsia="zh-CN"/>
        </w:rPr>
        <w:t>第五章</w:t>
      </w:r>
      <w:r>
        <w:rPr>
          <w:rStyle w:val="29"/>
          <w:rFonts w:hint="eastAsia" w:hAnsi="宋体" w:cs="宋体"/>
          <w:color w:val="auto"/>
          <w:sz w:val="32"/>
          <w:szCs w:val="32"/>
          <w:highlight w:val="none"/>
        </w:rPr>
        <w:t xml:space="preserve"> 响应文件组成</w:t>
      </w:r>
    </w:p>
    <w:p w14:paraId="20B237EF">
      <w:pPr>
        <w:spacing w:line="600" w:lineRule="exact"/>
        <w:rPr>
          <w:rFonts w:ascii="宋体" w:hAnsi="宋体" w:cs="宋体"/>
          <w:color w:val="auto"/>
          <w:sz w:val="24"/>
          <w:highlight w:val="none"/>
        </w:rPr>
      </w:pPr>
      <w:r>
        <w:rPr>
          <w:rFonts w:hint="eastAsia" w:ascii="宋体" w:hAnsi="宋体" w:cs="宋体"/>
          <w:color w:val="auto"/>
          <w:sz w:val="24"/>
          <w:highlight w:val="none"/>
        </w:rPr>
        <w:t>供应商的响应文件应包含以下部分：</w:t>
      </w:r>
    </w:p>
    <w:p w14:paraId="3288A199">
      <w:pPr>
        <w:widowControl/>
        <w:tabs>
          <w:tab w:val="left" w:pos="753"/>
        </w:tabs>
        <w:adjustRightInd w:val="0"/>
        <w:snapToGrid w:val="0"/>
        <w:spacing w:before="156" w:beforeLines="50" w:line="360" w:lineRule="auto"/>
        <w:ind w:firstLine="420" w:firstLineChars="200"/>
        <w:rPr>
          <w:rFonts w:ascii="宋体" w:hAnsi="宋体"/>
          <w:color w:val="auto"/>
          <w:szCs w:val="21"/>
          <w:highlight w:val="none"/>
        </w:rPr>
      </w:pPr>
      <w:r>
        <w:rPr>
          <w:rFonts w:ascii="宋体" w:hAnsi="宋体"/>
          <w:color w:val="auto"/>
          <w:szCs w:val="21"/>
          <w:highlight w:val="none"/>
        </w:rPr>
        <w:t>一</w:t>
      </w:r>
      <w:r>
        <w:rPr>
          <w:rFonts w:hint="eastAsia" w:ascii="宋体" w:hAnsi="宋体"/>
          <w:color w:val="auto"/>
          <w:szCs w:val="21"/>
          <w:highlight w:val="none"/>
        </w:rPr>
        <w:t>、报价表及报价文件(格式)</w:t>
      </w:r>
    </w:p>
    <w:p w14:paraId="053FA21E">
      <w:pPr>
        <w:widowControl/>
        <w:tabs>
          <w:tab w:val="left" w:pos="753"/>
        </w:tabs>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二、</w:t>
      </w:r>
      <w:r>
        <w:rPr>
          <w:rFonts w:hint="eastAsia" w:ascii="宋体" w:hAnsi="宋体"/>
          <w:color w:val="auto"/>
          <w:szCs w:val="21"/>
          <w:highlight w:val="none"/>
          <w:lang w:eastAsia="zh-CN"/>
        </w:rPr>
        <w:t>竞争性谈判</w:t>
      </w:r>
      <w:r>
        <w:rPr>
          <w:rFonts w:hint="eastAsia" w:ascii="宋体" w:hAnsi="宋体"/>
          <w:color w:val="auto"/>
          <w:szCs w:val="21"/>
          <w:highlight w:val="none"/>
        </w:rPr>
        <w:t>响应声明(格式)</w:t>
      </w:r>
    </w:p>
    <w:p w14:paraId="3F0665AE">
      <w:pPr>
        <w:widowControl/>
        <w:tabs>
          <w:tab w:val="left" w:pos="753"/>
        </w:tabs>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三</w:t>
      </w:r>
      <w:r>
        <w:rPr>
          <w:rFonts w:hint="eastAsia" w:ascii="宋体" w:hAnsi="宋体"/>
          <w:color w:val="auto"/>
          <w:szCs w:val="21"/>
          <w:highlight w:val="none"/>
        </w:rPr>
        <w:t>、法定代表人身份证明或授权委托书(格式)</w:t>
      </w:r>
    </w:p>
    <w:p w14:paraId="3B6AF8A8">
      <w:pPr>
        <w:widowControl/>
        <w:tabs>
          <w:tab w:val="left" w:pos="753"/>
        </w:tabs>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四</w:t>
      </w:r>
      <w:r>
        <w:rPr>
          <w:rFonts w:hint="eastAsia" w:ascii="宋体" w:hAnsi="宋体"/>
          <w:color w:val="auto"/>
          <w:szCs w:val="21"/>
          <w:highlight w:val="none"/>
        </w:rPr>
        <w:t>、供应商资格审查材料</w:t>
      </w:r>
    </w:p>
    <w:p w14:paraId="15AC0579">
      <w:pPr>
        <w:widowControl/>
        <w:tabs>
          <w:tab w:val="left" w:pos="753"/>
        </w:tabs>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五</w:t>
      </w:r>
      <w:r>
        <w:rPr>
          <w:rFonts w:hint="eastAsia" w:ascii="宋体" w:hAnsi="宋体"/>
          <w:color w:val="auto"/>
          <w:szCs w:val="21"/>
          <w:highlight w:val="none"/>
        </w:rPr>
        <w:t>、施工组织设计方案说明</w:t>
      </w:r>
    </w:p>
    <w:p w14:paraId="69759C13">
      <w:pPr>
        <w:widowControl/>
        <w:tabs>
          <w:tab w:val="left" w:pos="753"/>
        </w:tabs>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六、合同条款偏离表</w:t>
      </w:r>
    </w:p>
    <w:p w14:paraId="52266F15">
      <w:pPr>
        <w:widowControl/>
        <w:tabs>
          <w:tab w:val="left" w:pos="753"/>
        </w:tabs>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七</w:t>
      </w:r>
      <w:r>
        <w:rPr>
          <w:rFonts w:hint="eastAsia" w:ascii="宋体" w:hAnsi="宋体"/>
          <w:color w:val="auto"/>
          <w:szCs w:val="21"/>
          <w:highlight w:val="none"/>
        </w:rPr>
        <w:t>、采购需求偏离表</w:t>
      </w:r>
    </w:p>
    <w:p w14:paraId="5B8247A7">
      <w:pPr>
        <w:widowControl/>
        <w:tabs>
          <w:tab w:val="left" w:pos="753"/>
        </w:tabs>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八</w:t>
      </w:r>
      <w:r>
        <w:rPr>
          <w:rFonts w:hint="eastAsia" w:ascii="宋体" w:hAnsi="宋体"/>
          <w:color w:val="auto"/>
          <w:szCs w:val="21"/>
          <w:highlight w:val="none"/>
        </w:rPr>
        <w:t>、响应标的符合</w:t>
      </w:r>
      <w:r>
        <w:rPr>
          <w:rFonts w:hint="eastAsia" w:ascii="宋体" w:hAnsi="宋体"/>
          <w:color w:val="auto"/>
          <w:szCs w:val="21"/>
          <w:highlight w:val="none"/>
          <w:lang w:eastAsia="zh-CN"/>
        </w:rPr>
        <w:t>竞争性谈判</w:t>
      </w:r>
      <w:r>
        <w:rPr>
          <w:rFonts w:hint="eastAsia" w:ascii="宋体" w:hAnsi="宋体"/>
          <w:color w:val="auto"/>
          <w:szCs w:val="21"/>
          <w:highlight w:val="none"/>
        </w:rPr>
        <w:t>文件规定的证明文件</w:t>
      </w:r>
    </w:p>
    <w:p w14:paraId="4E2DE21F">
      <w:pPr>
        <w:widowControl/>
        <w:tabs>
          <w:tab w:val="left" w:pos="753"/>
        </w:tabs>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九</w:t>
      </w:r>
      <w:r>
        <w:rPr>
          <w:rFonts w:hint="eastAsia" w:ascii="宋体" w:hAnsi="宋体"/>
          <w:color w:val="auto"/>
          <w:szCs w:val="21"/>
          <w:highlight w:val="none"/>
        </w:rPr>
        <w:t>、供应商认为需提供的其他资料（如有）</w:t>
      </w:r>
    </w:p>
    <w:p w14:paraId="10C11558">
      <w:pPr>
        <w:widowControl/>
        <w:tabs>
          <w:tab w:val="left" w:pos="753"/>
        </w:tabs>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十一、最后报价</w:t>
      </w:r>
    </w:p>
    <w:p w14:paraId="2AC3B276">
      <w:pPr>
        <w:pStyle w:val="13"/>
        <w:adjustRightInd w:val="0"/>
        <w:snapToGrid w:val="0"/>
        <w:spacing w:line="400" w:lineRule="atLeast"/>
        <w:jc w:val="center"/>
        <w:rPr>
          <w:rFonts w:hAnsi="宋体" w:cs="宋体"/>
          <w:b/>
          <w:color w:val="auto"/>
          <w:sz w:val="84"/>
          <w:szCs w:val="84"/>
          <w:highlight w:val="none"/>
        </w:rPr>
      </w:pPr>
    </w:p>
    <w:p w14:paraId="618C45A6">
      <w:pPr>
        <w:pStyle w:val="13"/>
        <w:adjustRightInd w:val="0"/>
        <w:snapToGrid w:val="0"/>
        <w:spacing w:line="400" w:lineRule="atLeast"/>
        <w:jc w:val="center"/>
        <w:rPr>
          <w:rFonts w:hAnsi="宋体" w:cs="宋体"/>
          <w:b/>
          <w:color w:val="auto"/>
          <w:sz w:val="84"/>
          <w:szCs w:val="84"/>
          <w:highlight w:val="none"/>
        </w:rPr>
      </w:pPr>
    </w:p>
    <w:p w14:paraId="287D7268">
      <w:pPr>
        <w:pStyle w:val="13"/>
        <w:adjustRightInd w:val="0"/>
        <w:snapToGrid w:val="0"/>
        <w:spacing w:line="400" w:lineRule="atLeast"/>
        <w:jc w:val="center"/>
        <w:rPr>
          <w:rFonts w:hAnsi="宋体" w:cs="宋体"/>
          <w:b/>
          <w:color w:val="auto"/>
          <w:sz w:val="84"/>
          <w:szCs w:val="84"/>
          <w:highlight w:val="none"/>
        </w:rPr>
      </w:pPr>
    </w:p>
    <w:p w14:paraId="75B00B04">
      <w:pPr>
        <w:pStyle w:val="13"/>
        <w:adjustRightInd w:val="0"/>
        <w:snapToGrid w:val="0"/>
        <w:spacing w:line="400" w:lineRule="atLeast"/>
        <w:jc w:val="center"/>
        <w:rPr>
          <w:rFonts w:hAnsi="宋体" w:cs="宋体"/>
          <w:b/>
          <w:color w:val="auto"/>
          <w:sz w:val="84"/>
          <w:szCs w:val="84"/>
          <w:highlight w:val="none"/>
        </w:rPr>
      </w:pPr>
    </w:p>
    <w:p w14:paraId="46A58337">
      <w:pPr>
        <w:pStyle w:val="13"/>
        <w:adjustRightInd w:val="0"/>
        <w:snapToGrid w:val="0"/>
        <w:spacing w:line="400" w:lineRule="atLeast"/>
        <w:jc w:val="center"/>
        <w:rPr>
          <w:rFonts w:hAnsi="宋体" w:cs="宋体"/>
          <w:b/>
          <w:color w:val="auto"/>
          <w:sz w:val="84"/>
          <w:szCs w:val="84"/>
          <w:highlight w:val="none"/>
        </w:rPr>
      </w:pPr>
    </w:p>
    <w:p w14:paraId="47AAA046">
      <w:pPr>
        <w:pStyle w:val="13"/>
        <w:adjustRightInd w:val="0"/>
        <w:snapToGrid w:val="0"/>
        <w:spacing w:line="400" w:lineRule="atLeast"/>
        <w:jc w:val="center"/>
        <w:rPr>
          <w:rFonts w:hint="eastAsia" w:hAnsi="宋体" w:cs="宋体"/>
          <w:b/>
          <w:color w:val="auto"/>
          <w:sz w:val="84"/>
          <w:szCs w:val="84"/>
          <w:highlight w:val="none"/>
          <w:lang w:eastAsia="zh-CN"/>
        </w:rPr>
      </w:pPr>
    </w:p>
    <w:p w14:paraId="1494F76B">
      <w:pPr>
        <w:pStyle w:val="13"/>
        <w:adjustRightInd w:val="0"/>
        <w:snapToGrid w:val="0"/>
        <w:spacing w:line="400" w:lineRule="atLeast"/>
        <w:jc w:val="center"/>
        <w:rPr>
          <w:rFonts w:hAnsi="宋体" w:cs="宋体"/>
          <w:b/>
          <w:color w:val="auto"/>
          <w:sz w:val="84"/>
          <w:szCs w:val="84"/>
          <w:highlight w:val="none"/>
        </w:rPr>
      </w:pPr>
      <w:r>
        <w:rPr>
          <w:rFonts w:hint="eastAsia" w:hAnsi="宋体" w:cs="宋体"/>
          <w:b/>
          <w:color w:val="auto"/>
          <w:sz w:val="84"/>
          <w:szCs w:val="84"/>
          <w:highlight w:val="none"/>
          <w:lang w:eastAsia="zh-CN"/>
        </w:rPr>
        <w:t>竞争性谈判</w:t>
      </w:r>
      <w:r>
        <w:rPr>
          <w:rFonts w:hint="eastAsia" w:hAnsi="宋体" w:cs="宋体"/>
          <w:b/>
          <w:color w:val="auto"/>
          <w:sz w:val="84"/>
          <w:szCs w:val="84"/>
          <w:highlight w:val="none"/>
        </w:rPr>
        <w:t>采购</w:t>
      </w:r>
    </w:p>
    <w:p w14:paraId="779F96E2">
      <w:pPr>
        <w:adjustRightInd w:val="0"/>
        <w:snapToGrid w:val="0"/>
        <w:spacing w:line="400" w:lineRule="atLeast"/>
        <w:jc w:val="center"/>
        <w:rPr>
          <w:rFonts w:ascii="宋体" w:hAnsi="宋体" w:cs="宋体"/>
          <w:b/>
          <w:color w:val="auto"/>
          <w:sz w:val="44"/>
          <w:szCs w:val="44"/>
          <w:highlight w:val="none"/>
        </w:rPr>
      </w:pPr>
      <w:r>
        <w:rPr>
          <w:rFonts w:hint="eastAsia" w:ascii="宋体" w:hAnsi="宋体" w:cs="宋体"/>
          <w:b/>
          <w:color w:val="auto"/>
          <w:sz w:val="84"/>
          <w:szCs w:val="84"/>
          <w:highlight w:val="none"/>
        </w:rPr>
        <w:t>响 应 文 件</w:t>
      </w:r>
    </w:p>
    <w:p w14:paraId="45E2DE15">
      <w:pPr>
        <w:spacing w:beforeLines="100"/>
        <w:jc w:val="center"/>
        <w:rPr>
          <w:rFonts w:ascii="宋体" w:hAnsi="宋体" w:cs="宋体"/>
          <w:b/>
          <w:color w:val="auto"/>
          <w:sz w:val="44"/>
          <w:szCs w:val="44"/>
          <w:highlight w:val="none"/>
        </w:rPr>
      </w:pPr>
    </w:p>
    <w:p w14:paraId="32002FD7">
      <w:pPr>
        <w:spacing w:beforeLines="100"/>
        <w:jc w:val="center"/>
        <w:rPr>
          <w:rFonts w:ascii="宋体" w:hAnsi="宋体" w:cs="宋体"/>
          <w:b/>
          <w:color w:val="auto"/>
          <w:sz w:val="44"/>
          <w:szCs w:val="44"/>
          <w:highlight w:val="none"/>
        </w:rPr>
      </w:pPr>
      <w:r>
        <w:rPr>
          <w:rFonts w:hint="eastAsia" w:ascii="宋体" w:hAnsi="宋体" w:cs="宋体"/>
          <w:b/>
          <w:color w:val="auto"/>
          <w:sz w:val="44"/>
          <w:szCs w:val="44"/>
          <w:highlight w:val="none"/>
        </w:rPr>
        <w:t>(</w:t>
      </w:r>
      <w:r>
        <w:rPr>
          <w:rFonts w:hint="eastAsia" w:ascii="宋体" w:hAnsi="宋体" w:cs="宋体"/>
          <w:b/>
          <w:color w:val="auto"/>
          <w:sz w:val="30"/>
          <w:szCs w:val="30"/>
          <w:highlight w:val="none"/>
        </w:rPr>
        <w:t>请注明“正本”或“副本”</w:t>
      </w:r>
      <w:r>
        <w:rPr>
          <w:rFonts w:hint="eastAsia" w:ascii="宋体" w:hAnsi="宋体" w:cs="宋体"/>
          <w:b/>
          <w:color w:val="auto"/>
          <w:sz w:val="44"/>
          <w:szCs w:val="44"/>
          <w:highlight w:val="none"/>
        </w:rPr>
        <w:t>)</w:t>
      </w:r>
    </w:p>
    <w:p w14:paraId="678822AD">
      <w:pPr>
        <w:rPr>
          <w:rFonts w:ascii="宋体" w:hAnsi="宋体" w:cs="宋体"/>
          <w:b/>
          <w:color w:val="auto"/>
          <w:sz w:val="32"/>
          <w:szCs w:val="32"/>
          <w:highlight w:val="none"/>
        </w:rPr>
      </w:pPr>
    </w:p>
    <w:p w14:paraId="6A7D33E3">
      <w:pPr>
        <w:pStyle w:val="27"/>
        <w:rPr>
          <w:color w:val="auto"/>
          <w:highlight w:val="none"/>
        </w:rPr>
      </w:pPr>
    </w:p>
    <w:p w14:paraId="14CF6567">
      <w:pPr>
        <w:adjustRightInd w:val="0"/>
        <w:snapToGrid w:val="0"/>
        <w:ind w:firstLine="1500" w:firstLineChars="500"/>
        <w:outlineLvl w:val="0"/>
        <w:rPr>
          <w:rFonts w:ascii="宋体" w:hAnsi="宋体" w:cs="宋体"/>
          <w:b/>
          <w:color w:val="auto"/>
          <w:sz w:val="30"/>
          <w:szCs w:val="30"/>
          <w:highlight w:val="none"/>
        </w:rPr>
      </w:pPr>
    </w:p>
    <w:p w14:paraId="7B2B7FF5">
      <w:pPr>
        <w:spacing w:line="720" w:lineRule="auto"/>
        <w:ind w:firstLine="900" w:firstLineChars="300"/>
        <w:jc w:val="left"/>
        <w:rPr>
          <w:rFonts w:hint="eastAsia" w:ascii="宋体" w:hAnsi="宋体" w:eastAsia="宋体" w:cs="宋体"/>
          <w:b/>
          <w:color w:val="auto"/>
          <w:sz w:val="30"/>
          <w:szCs w:val="30"/>
          <w:highlight w:val="none"/>
          <w:u w:val="single"/>
          <w:lang w:eastAsia="zh-CN"/>
        </w:rPr>
      </w:pPr>
      <w:r>
        <w:rPr>
          <w:rFonts w:hint="eastAsia" w:ascii="宋体" w:hAnsi="宋体" w:cs="宋体"/>
          <w:b/>
          <w:color w:val="auto"/>
          <w:sz w:val="30"/>
          <w:szCs w:val="30"/>
          <w:highlight w:val="none"/>
        </w:rPr>
        <w:t>项目名称：</w:t>
      </w:r>
      <w:r>
        <w:rPr>
          <w:rFonts w:hint="eastAsia" w:ascii="宋体" w:hAnsi="宋体" w:cs="宋体"/>
          <w:b/>
          <w:color w:val="auto"/>
          <w:sz w:val="30"/>
          <w:szCs w:val="30"/>
          <w:highlight w:val="none"/>
          <w:u w:val="single"/>
          <w:lang w:eastAsia="zh-CN"/>
        </w:rPr>
        <w:t>株洲北斗应用与信息技术产业示范基地配套基础设施项目</w:t>
      </w:r>
      <w:r>
        <w:rPr>
          <w:rFonts w:hint="eastAsia" w:ascii="宋体" w:hAnsi="宋体" w:cs="宋体"/>
          <w:b/>
          <w:color w:val="auto"/>
          <w:sz w:val="30"/>
          <w:szCs w:val="30"/>
          <w:highlight w:val="none"/>
          <w:u w:val="single"/>
          <w:lang w:val="en-US" w:eastAsia="zh-CN"/>
        </w:rPr>
        <w:t>(一期)</w:t>
      </w:r>
      <w:r>
        <w:rPr>
          <w:rFonts w:hint="eastAsia" w:ascii="宋体" w:hAnsi="宋体" w:cs="宋体"/>
          <w:b/>
          <w:color w:val="auto"/>
          <w:sz w:val="30"/>
          <w:szCs w:val="30"/>
          <w:highlight w:val="none"/>
          <w:u w:val="single"/>
          <w:lang w:eastAsia="zh-CN"/>
        </w:rPr>
        <w:t>钢结构安装</w:t>
      </w:r>
    </w:p>
    <w:p w14:paraId="1389DCDB">
      <w:pPr>
        <w:spacing w:line="720" w:lineRule="auto"/>
        <w:ind w:firstLine="900" w:firstLineChars="300"/>
        <w:jc w:val="left"/>
        <w:rPr>
          <w:rFonts w:hint="eastAsia" w:ascii="宋体" w:hAnsi="宋体" w:eastAsia="宋体" w:cs="宋体"/>
          <w:b/>
          <w:color w:val="auto"/>
          <w:sz w:val="30"/>
          <w:szCs w:val="30"/>
          <w:highlight w:val="none"/>
          <w:u w:val="single"/>
          <w:lang w:eastAsia="zh-CN"/>
        </w:rPr>
      </w:pPr>
      <w:r>
        <w:rPr>
          <w:rFonts w:hint="eastAsia" w:ascii="宋体" w:hAnsi="宋体" w:cs="宋体"/>
          <w:b/>
          <w:color w:val="auto"/>
          <w:sz w:val="30"/>
          <w:szCs w:val="30"/>
          <w:highlight w:val="none"/>
        </w:rPr>
        <w:t>采 购 人：</w:t>
      </w:r>
      <w:r>
        <w:rPr>
          <w:rFonts w:hint="eastAsia" w:ascii="宋体" w:hAnsi="宋体" w:cs="宋体"/>
          <w:b/>
          <w:color w:val="auto"/>
          <w:sz w:val="30"/>
          <w:szCs w:val="30"/>
          <w:highlight w:val="none"/>
          <w:u w:val="single"/>
          <w:lang w:eastAsia="zh-CN"/>
        </w:rPr>
        <w:t>株洲市云龙发展集团城市建设有限公司</w:t>
      </w:r>
    </w:p>
    <w:p w14:paraId="27C71A4A">
      <w:pPr>
        <w:spacing w:line="720" w:lineRule="auto"/>
        <w:ind w:firstLine="900" w:firstLineChars="300"/>
        <w:jc w:val="left"/>
        <w:rPr>
          <w:rFonts w:ascii="宋体" w:hAnsi="宋体" w:cs="宋体"/>
          <w:b/>
          <w:color w:val="auto"/>
          <w:sz w:val="30"/>
          <w:szCs w:val="30"/>
          <w:highlight w:val="none"/>
          <w:u w:val="single"/>
        </w:rPr>
      </w:pPr>
      <w:r>
        <w:rPr>
          <w:rFonts w:hint="eastAsia" w:ascii="宋体" w:hAnsi="宋体" w:cs="宋体"/>
          <w:b/>
          <w:color w:val="auto"/>
          <w:sz w:val="30"/>
          <w:szCs w:val="30"/>
          <w:highlight w:val="none"/>
        </w:rPr>
        <w:t>供应商名称：</w:t>
      </w:r>
      <w:r>
        <w:rPr>
          <w:rFonts w:hint="eastAsia" w:ascii="宋体" w:hAnsi="宋体" w:cs="宋体"/>
          <w:b/>
          <w:color w:val="auto"/>
          <w:sz w:val="30"/>
          <w:szCs w:val="30"/>
          <w:highlight w:val="none"/>
          <w:u w:val="single"/>
        </w:rPr>
        <w:t xml:space="preserve">            （盖单位章）           </w:t>
      </w:r>
    </w:p>
    <w:p w14:paraId="6AA9F234">
      <w:pPr>
        <w:adjustRightInd w:val="0"/>
        <w:snapToGrid w:val="0"/>
        <w:spacing w:line="360" w:lineRule="auto"/>
        <w:outlineLvl w:val="0"/>
        <w:rPr>
          <w:rFonts w:ascii="宋体" w:hAnsi="宋体" w:cs="宋体"/>
          <w:b/>
          <w:color w:val="auto"/>
          <w:sz w:val="30"/>
          <w:szCs w:val="30"/>
          <w:highlight w:val="none"/>
        </w:rPr>
      </w:pPr>
      <w:r>
        <w:rPr>
          <w:rFonts w:hint="eastAsia" w:ascii="宋体" w:hAnsi="宋体" w:cs="宋体"/>
          <w:b/>
          <w:color w:val="auto"/>
          <w:sz w:val="30"/>
          <w:szCs w:val="30"/>
          <w:highlight w:val="none"/>
        </w:rPr>
        <w:t xml:space="preserve">      </w:t>
      </w:r>
    </w:p>
    <w:p w14:paraId="0959192B">
      <w:pPr>
        <w:adjustRightInd w:val="0"/>
        <w:snapToGrid w:val="0"/>
        <w:spacing w:line="360" w:lineRule="auto"/>
        <w:ind w:firstLine="900" w:firstLineChars="300"/>
        <w:outlineLvl w:val="0"/>
        <w:rPr>
          <w:rFonts w:ascii="宋体" w:hAnsi="宋体" w:cs="宋体"/>
          <w:b/>
          <w:color w:val="auto"/>
          <w:sz w:val="30"/>
          <w:szCs w:val="30"/>
          <w:highlight w:val="none"/>
        </w:rPr>
      </w:pPr>
      <w:r>
        <w:rPr>
          <w:rFonts w:hint="eastAsia" w:ascii="宋体" w:hAnsi="宋体" w:cs="宋体"/>
          <w:b/>
          <w:color w:val="auto"/>
          <w:sz w:val="30"/>
          <w:szCs w:val="30"/>
          <w:highlight w:val="none"/>
        </w:rPr>
        <w:t>日      期：         年      月      日</w:t>
      </w:r>
    </w:p>
    <w:p w14:paraId="1B5D6407">
      <w:pPr>
        <w:adjustRightInd w:val="0"/>
        <w:snapToGrid w:val="0"/>
        <w:spacing w:line="600" w:lineRule="exact"/>
        <w:jc w:val="left"/>
        <w:outlineLvl w:val="0"/>
        <w:rPr>
          <w:rFonts w:ascii="宋体" w:hAnsi="宋体" w:cs="宋体"/>
          <w:b/>
          <w:color w:val="auto"/>
          <w:sz w:val="24"/>
          <w:highlight w:val="none"/>
        </w:rPr>
      </w:pPr>
      <w:r>
        <w:rPr>
          <w:rFonts w:hint="eastAsia" w:ascii="宋体" w:hAnsi="宋体" w:cs="宋体"/>
          <w:b/>
          <w:color w:val="auto"/>
          <w:sz w:val="28"/>
          <w:szCs w:val="28"/>
          <w:highlight w:val="none"/>
        </w:rPr>
        <w:t xml:space="preserve">（说明：当供应商采用硬质或塑胶等外封面不便签署时，外封面可不签署，但应在响应文件内按此格式设有内封面，并按此格式签署。） </w:t>
      </w:r>
    </w:p>
    <w:p w14:paraId="02E47A79">
      <w:pPr>
        <w:keepNext/>
        <w:keepLines/>
        <w:spacing w:line="360" w:lineRule="auto"/>
        <w:jc w:val="center"/>
        <w:outlineLvl w:val="1"/>
        <w:rPr>
          <w:rFonts w:ascii="黑体" w:hAnsi="黑体" w:eastAsia="黑体"/>
          <w:b/>
          <w:bCs/>
          <w:color w:val="auto"/>
          <w:sz w:val="28"/>
          <w:szCs w:val="28"/>
          <w:highlight w:val="none"/>
        </w:rPr>
      </w:pPr>
      <w:bookmarkStart w:id="0" w:name="_Toc10664"/>
      <w:bookmarkStart w:id="1" w:name="_Toc23249"/>
      <w:bookmarkStart w:id="2" w:name="_Toc12115"/>
      <w:r>
        <w:rPr>
          <w:rFonts w:hint="eastAsia" w:ascii="黑体" w:eastAsia="黑体"/>
          <w:color w:val="auto"/>
          <w:sz w:val="32"/>
          <w:szCs w:val="32"/>
          <w:highlight w:val="none"/>
        </w:rPr>
        <w:br w:type="page"/>
      </w:r>
      <w:bookmarkStart w:id="3" w:name="_Toc7280"/>
      <w:r>
        <w:rPr>
          <w:rFonts w:hint="eastAsia" w:ascii="黑体" w:hAnsi="黑体" w:eastAsia="黑体"/>
          <w:b/>
          <w:bCs/>
          <w:color w:val="auto"/>
          <w:sz w:val="28"/>
          <w:szCs w:val="28"/>
          <w:highlight w:val="none"/>
        </w:rPr>
        <w:t>一、报价表及报价文件（格式）</w:t>
      </w:r>
      <w:bookmarkEnd w:id="3"/>
    </w:p>
    <w:p w14:paraId="634FBB86">
      <w:pPr>
        <w:keepNext/>
        <w:keepLines/>
        <w:spacing w:before="260" w:after="260" w:line="416" w:lineRule="auto"/>
        <w:outlineLvl w:val="2"/>
        <w:rPr>
          <w:rFonts w:ascii="宋体" w:hAnsi="宋体"/>
          <w:b/>
          <w:bCs/>
          <w:color w:val="auto"/>
          <w:szCs w:val="21"/>
          <w:highlight w:val="none"/>
        </w:rPr>
      </w:pPr>
      <w:bookmarkStart w:id="4" w:name="_Toc4124"/>
      <w:bookmarkStart w:id="5" w:name="_Toc107998029"/>
      <w:bookmarkStart w:id="6" w:name="_Toc16325"/>
      <w:bookmarkStart w:id="7" w:name="_Toc28086"/>
      <w:bookmarkStart w:id="8" w:name="_Toc2471"/>
      <w:bookmarkStart w:id="9" w:name="_Toc12942"/>
      <w:r>
        <w:rPr>
          <w:rFonts w:hint="eastAsia" w:ascii="宋体" w:hAnsi="宋体"/>
          <w:b/>
          <w:bCs/>
          <w:color w:val="auto"/>
          <w:szCs w:val="21"/>
          <w:highlight w:val="none"/>
        </w:rPr>
        <w:t>附件</w:t>
      </w:r>
      <w:r>
        <w:rPr>
          <w:rFonts w:ascii="宋体" w:hAnsi="宋体"/>
          <w:b/>
          <w:bCs/>
          <w:color w:val="auto"/>
          <w:szCs w:val="21"/>
          <w:highlight w:val="none"/>
        </w:rPr>
        <w:t>1</w:t>
      </w:r>
      <w:r>
        <w:rPr>
          <w:rFonts w:hint="eastAsia" w:ascii="宋体" w:hAnsi="宋体"/>
          <w:b/>
          <w:bCs/>
          <w:color w:val="auto"/>
          <w:szCs w:val="21"/>
          <w:highlight w:val="none"/>
        </w:rPr>
        <w:t>-1 报价表</w:t>
      </w:r>
      <w:bookmarkEnd w:id="4"/>
      <w:bookmarkEnd w:id="5"/>
      <w:bookmarkEnd w:id="6"/>
      <w:bookmarkEnd w:id="7"/>
      <w:bookmarkEnd w:id="8"/>
      <w:bookmarkEnd w:id="9"/>
    </w:p>
    <w:p w14:paraId="6231F538">
      <w:pPr>
        <w:jc w:val="center"/>
        <w:rPr>
          <w:rFonts w:ascii="黑体" w:hAnsi="黑体" w:eastAsia="黑体"/>
          <w:b/>
          <w:color w:val="auto"/>
          <w:sz w:val="28"/>
          <w:szCs w:val="28"/>
          <w:highlight w:val="none"/>
        </w:rPr>
      </w:pPr>
      <w:r>
        <w:rPr>
          <w:rFonts w:hint="eastAsia" w:ascii="黑体" w:hAnsi="黑体" w:eastAsia="黑体"/>
          <w:b/>
          <w:color w:val="auto"/>
          <w:sz w:val="28"/>
          <w:szCs w:val="28"/>
          <w:highlight w:val="none"/>
        </w:rPr>
        <w:t>报价表</w:t>
      </w:r>
    </w:p>
    <w:p w14:paraId="26AD1C2D">
      <w:pPr>
        <w:adjustRightInd w:val="0"/>
        <w:snapToGrid w:val="0"/>
        <w:spacing w:line="360" w:lineRule="auto"/>
        <w:ind w:left="-88" w:leftChars="-42"/>
        <w:jc w:val="center"/>
        <w:rPr>
          <w:rFonts w:ascii="仿宋_GB2312" w:hAnsi="宋体" w:eastAsia="仿宋_GB2312"/>
          <w:color w:val="auto"/>
          <w:sz w:val="24"/>
          <w:highlight w:val="none"/>
        </w:rPr>
      </w:pPr>
    </w:p>
    <w:p w14:paraId="1C5AB535">
      <w:pPr>
        <w:adjustRightInd w:val="0"/>
        <w:snapToGrid w:val="0"/>
        <w:spacing w:before="156" w:beforeLines="50" w:line="360" w:lineRule="auto"/>
        <w:rPr>
          <w:rFonts w:ascii="宋体" w:hAnsi="宋体"/>
          <w:color w:val="auto"/>
          <w:szCs w:val="21"/>
          <w:highlight w:val="none"/>
          <w:u w:val="single"/>
        </w:rPr>
      </w:pPr>
      <w:r>
        <w:rPr>
          <w:rFonts w:hint="eastAsia" w:ascii="宋体" w:hAnsi="宋体"/>
          <w:color w:val="auto"/>
          <w:szCs w:val="21"/>
          <w:highlight w:val="none"/>
        </w:rPr>
        <w:t>采购代理编号：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项目名称：</w:t>
      </w:r>
      <w:r>
        <w:rPr>
          <w:rFonts w:hint="eastAsia" w:ascii="宋体" w:hAnsi="宋体"/>
          <w:color w:val="auto"/>
          <w:szCs w:val="21"/>
          <w:highlight w:val="none"/>
          <w:u w:val="single"/>
        </w:rPr>
        <w:t xml:space="preserve">                        </w:t>
      </w:r>
    </w:p>
    <w:p w14:paraId="2A226B4A">
      <w:pPr>
        <w:pStyle w:val="6"/>
        <w:rPr>
          <w:color w:val="auto"/>
          <w:highlight w:val="none"/>
        </w:rPr>
      </w:pPr>
    </w:p>
    <w:tbl>
      <w:tblPr>
        <w:tblStyle w:val="20"/>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2512"/>
        <w:gridCol w:w="1620"/>
        <w:gridCol w:w="2522"/>
      </w:tblGrid>
      <w:tr w14:paraId="4ED3EF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2168" w:type="dxa"/>
            <w:tcBorders>
              <w:top w:val="double" w:color="auto" w:sz="4" w:space="0"/>
              <w:left w:val="double" w:color="auto" w:sz="4" w:space="0"/>
              <w:bottom w:val="single" w:color="auto" w:sz="6" w:space="0"/>
              <w:right w:val="single" w:color="auto" w:sz="6" w:space="0"/>
            </w:tcBorders>
            <w:vAlign w:val="center"/>
          </w:tcPr>
          <w:p w14:paraId="3D09D235">
            <w:pPr>
              <w:tabs>
                <w:tab w:val="left" w:pos="403"/>
                <w:tab w:val="center" w:pos="3781"/>
              </w:tabs>
              <w:spacing w:line="420" w:lineRule="exact"/>
              <w:ind w:right="-5205" w:rightChars="-2479" w:firstLine="210" w:firstLineChars="100"/>
              <w:rPr>
                <w:color w:val="auto"/>
                <w:szCs w:val="21"/>
                <w:highlight w:val="none"/>
              </w:rPr>
            </w:pPr>
            <w:r>
              <w:rPr>
                <w:color w:val="auto"/>
                <w:szCs w:val="21"/>
                <w:highlight w:val="none"/>
              </w:rPr>
              <w:t>项目名称</w:t>
            </w:r>
            <w:r>
              <w:rPr>
                <w:color w:val="auto"/>
                <w:szCs w:val="21"/>
                <w:highlight w:val="none"/>
              </w:rPr>
              <w:tab/>
            </w:r>
            <w:r>
              <w:rPr>
                <w:color w:val="auto"/>
                <w:szCs w:val="21"/>
                <w:highlight w:val="none"/>
              </w:rPr>
              <w:t>项目名称</w:t>
            </w:r>
          </w:p>
        </w:tc>
        <w:tc>
          <w:tcPr>
            <w:tcW w:w="2512" w:type="dxa"/>
            <w:tcBorders>
              <w:top w:val="double" w:color="auto" w:sz="4" w:space="0"/>
              <w:left w:val="single" w:color="auto" w:sz="6" w:space="0"/>
              <w:bottom w:val="single" w:color="auto" w:sz="6" w:space="0"/>
              <w:right w:val="single" w:color="auto" w:sz="6" w:space="0"/>
            </w:tcBorders>
            <w:vAlign w:val="center"/>
          </w:tcPr>
          <w:p w14:paraId="5018C136">
            <w:pPr>
              <w:spacing w:line="420" w:lineRule="exact"/>
              <w:jc w:val="center"/>
              <w:rPr>
                <w:color w:val="auto"/>
                <w:szCs w:val="21"/>
                <w:highlight w:val="none"/>
              </w:rPr>
            </w:pPr>
          </w:p>
        </w:tc>
        <w:tc>
          <w:tcPr>
            <w:tcW w:w="1620" w:type="dxa"/>
            <w:tcBorders>
              <w:top w:val="double" w:color="auto" w:sz="4" w:space="0"/>
              <w:left w:val="single" w:color="auto" w:sz="6" w:space="0"/>
              <w:right w:val="single" w:color="auto" w:sz="6" w:space="0"/>
            </w:tcBorders>
            <w:vAlign w:val="center"/>
          </w:tcPr>
          <w:p w14:paraId="404C50E1">
            <w:pPr>
              <w:spacing w:line="420" w:lineRule="exact"/>
              <w:jc w:val="center"/>
              <w:rPr>
                <w:color w:val="auto"/>
                <w:szCs w:val="21"/>
                <w:highlight w:val="none"/>
              </w:rPr>
            </w:pPr>
            <w:r>
              <w:rPr>
                <w:rFonts w:hint="eastAsia"/>
                <w:color w:val="auto"/>
                <w:szCs w:val="21"/>
                <w:highlight w:val="none"/>
                <w:lang w:eastAsia="zh-CN"/>
              </w:rPr>
              <w:t>竞争性谈判</w:t>
            </w:r>
            <w:r>
              <w:rPr>
                <w:color w:val="auto"/>
                <w:szCs w:val="21"/>
                <w:highlight w:val="none"/>
              </w:rPr>
              <w:t>采购编号</w:t>
            </w:r>
          </w:p>
        </w:tc>
        <w:tc>
          <w:tcPr>
            <w:tcW w:w="2522" w:type="dxa"/>
            <w:tcBorders>
              <w:top w:val="double" w:color="auto" w:sz="4" w:space="0"/>
              <w:left w:val="single" w:color="auto" w:sz="6" w:space="0"/>
              <w:bottom w:val="single" w:color="auto" w:sz="6" w:space="0"/>
              <w:right w:val="double" w:color="auto" w:sz="4" w:space="0"/>
            </w:tcBorders>
            <w:vAlign w:val="center"/>
          </w:tcPr>
          <w:p w14:paraId="35642BF5">
            <w:pPr>
              <w:spacing w:line="420" w:lineRule="exact"/>
              <w:jc w:val="center"/>
              <w:rPr>
                <w:color w:val="auto"/>
                <w:szCs w:val="21"/>
                <w:highlight w:val="none"/>
              </w:rPr>
            </w:pPr>
          </w:p>
        </w:tc>
      </w:tr>
      <w:tr w14:paraId="02F5CD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168" w:type="dxa"/>
            <w:tcBorders>
              <w:top w:val="single" w:color="auto" w:sz="6" w:space="0"/>
              <w:left w:val="double" w:color="auto" w:sz="4" w:space="0"/>
              <w:right w:val="single" w:color="auto" w:sz="6" w:space="0"/>
            </w:tcBorders>
            <w:vAlign w:val="center"/>
          </w:tcPr>
          <w:p w14:paraId="2C8C1E01">
            <w:pPr>
              <w:spacing w:line="420" w:lineRule="exact"/>
              <w:jc w:val="center"/>
              <w:rPr>
                <w:color w:val="auto"/>
                <w:szCs w:val="21"/>
                <w:highlight w:val="none"/>
              </w:rPr>
            </w:pPr>
            <w:r>
              <w:rPr>
                <w:rFonts w:hint="eastAsia"/>
                <w:color w:val="auto"/>
                <w:szCs w:val="21"/>
                <w:highlight w:val="none"/>
              </w:rPr>
              <w:t>投标总</w:t>
            </w:r>
            <w:r>
              <w:rPr>
                <w:color w:val="auto"/>
                <w:szCs w:val="21"/>
                <w:highlight w:val="none"/>
              </w:rPr>
              <w:t>报价</w:t>
            </w:r>
          </w:p>
          <w:p w14:paraId="2AFD108D">
            <w:pPr>
              <w:spacing w:line="420" w:lineRule="exact"/>
              <w:jc w:val="center"/>
              <w:rPr>
                <w:color w:val="auto"/>
                <w:szCs w:val="21"/>
                <w:highlight w:val="none"/>
              </w:rPr>
            </w:pPr>
            <w:r>
              <w:rPr>
                <w:rFonts w:hint="eastAsia" w:ascii="宋体" w:hAnsi="宋体" w:cs="宋体"/>
                <w:bCs/>
                <w:color w:val="auto"/>
                <w:highlight w:val="none"/>
              </w:rPr>
              <w:t>（已包含价格折扣）</w:t>
            </w:r>
          </w:p>
        </w:tc>
        <w:tc>
          <w:tcPr>
            <w:tcW w:w="6654" w:type="dxa"/>
            <w:gridSpan w:val="3"/>
            <w:tcBorders>
              <w:top w:val="single" w:color="auto" w:sz="6" w:space="0"/>
              <w:left w:val="single" w:color="auto" w:sz="6" w:space="0"/>
              <w:bottom w:val="single" w:color="auto" w:sz="6" w:space="0"/>
              <w:right w:val="double" w:color="auto" w:sz="4" w:space="0"/>
            </w:tcBorders>
            <w:vAlign w:val="center"/>
          </w:tcPr>
          <w:p w14:paraId="3A334BE9">
            <w:pPr>
              <w:rPr>
                <w:color w:val="auto"/>
                <w:highlight w:val="none"/>
              </w:rPr>
            </w:pPr>
            <w:r>
              <w:rPr>
                <w:color w:val="auto"/>
                <w:highlight w:val="none"/>
              </w:rPr>
              <w:t>大写：                    元人民币整</w:t>
            </w:r>
          </w:p>
          <w:p w14:paraId="576A5B73">
            <w:pPr>
              <w:spacing w:line="420" w:lineRule="exact"/>
              <w:rPr>
                <w:color w:val="auto"/>
                <w:highlight w:val="none"/>
              </w:rPr>
            </w:pPr>
            <w:r>
              <w:rPr>
                <w:color w:val="auto"/>
                <w:highlight w:val="none"/>
              </w:rPr>
              <w:t>小写：                    元人民币整</w:t>
            </w:r>
          </w:p>
          <w:p w14:paraId="7D5ACC03">
            <w:pPr>
              <w:pStyle w:val="56"/>
              <w:rPr>
                <w:color w:val="auto"/>
                <w:highlight w:val="none"/>
              </w:rPr>
            </w:pPr>
          </w:p>
          <w:p w14:paraId="7F4B59D8">
            <w:pPr>
              <w:rPr>
                <w:color w:val="auto"/>
                <w:highlight w:val="none"/>
              </w:rPr>
            </w:pPr>
            <w:r>
              <w:rPr>
                <w:rFonts w:hint="eastAsia" w:ascii="宋体" w:hAnsi="宋体" w:cs="宋体"/>
                <w:color w:val="auto"/>
                <w:szCs w:val="21"/>
                <w:highlight w:val="none"/>
              </w:rPr>
              <w:t>投标报价为含税价，其中增值税税率为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tc>
      </w:tr>
      <w:tr w14:paraId="444AC1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168" w:type="dxa"/>
            <w:tcBorders>
              <w:top w:val="single" w:color="auto" w:sz="6" w:space="0"/>
              <w:left w:val="double" w:color="auto" w:sz="4" w:space="0"/>
              <w:right w:val="single" w:color="auto" w:sz="6" w:space="0"/>
            </w:tcBorders>
            <w:vAlign w:val="center"/>
          </w:tcPr>
          <w:p w14:paraId="79EFEE7F">
            <w:pPr>
              <w:spacing w:line="420" w:lineRule="exact"/>
              <w:jc w:val="center"/>
              <w:rPr>
                <w:rFonts w:hint="eastAsia" w:eastAsia="宋体"/>
                <w:color w:val="auto"/>
                <w:szCs w:val="21"/>
                <w:highlight w:val="none"/>
                <w:lang w:eastAsia="zh-CN"/>
              </w:rPr>
            </w:pPr>
            <w:r>
              <w:rPr>
                <w:rFonts w:hint="eastAsia" w:ascii="宋体" w:hAnsi="宋体"/>
                <w:color w:val="auto"/>
                <w:kern w:val="0"/>
                <w:szCs w:val="21"/>
                <w:highlight w:val="none"/>
              </w:rPr>
              <w:t>合同履行期限</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工期</w:t>
            </w:r>
            <w:r>
              <w:rPr>
                <w:rFonts w:hint="eastAsia" w:ascii="宋体" w:hAnsi="宋体"/>
                <w:color w:val="auto"/>
                <w:kern w:val="0"/>
                <w:szCs w:val="21"/>
                <w:highlight w:val="none"/>
                <w:lang w:eastAsia="zh-CN"/>
              </w:rPr>
              <w:t>）</w:t>
            </w:r>
          </w:p>
        </w:tc>
        <w:tc>
          <w:tcPr>
            <w:tcW w:w="6654" w:type="dxa"/>
            <w:gridSpan w:val="3"/>
            <w:tcBorders>
              <w:top w:val="single" w:color="auto" w:sz="6" w:space="0"/>
              <w:left w:val="single" w:color="auto" w:sz="6" w:space="0"/>
              <w:bottom w:val="single" w:color="auto" w:sz="6" w:space="0"/>
              <w:right w:val="double" w:color="auto" w:sz="4" w:space="0"/>
            </w:tcBorders>
            <w:vAlign w:val="center"/>
          </w:tcPr>
          <w:p w14:paraId="44D441FB">
            <w:pPr>
              <w:spacing w:line="420" w:lineRule="exact"/>
              <w:rPr>
                <w:color w:val="auto"/>
                <w:szCs w:val="21"/>
                <w:highlight w:val="none"/>
              </w:rPr>
            </w:pPr>
          </w:p>
        </w:tc>
      </w:tr>
      <w:tr w14:paraId="4AF0C6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168" w:type="dxa"/>
            <w:tcBorders>
              <w:top w:val="single" w:color="auto" w:sz="6" w:space="0"/>
              <w:left w:val="double" w:color="auto" w:sz="4" w:space="0"/>
              <w:right w:val="single" w:color="auto" w:sz="6" w:space="0"/>
            </w:tcBorders>
            <w:vAlign w:val="center"/>
          </w:tcPr>
          <w:p w14:paraId="7C8D1E25">
            <w:pPr>
              <w:spacing w:line="420" w:lineRule="exact"/>
              <w:jc w:val="center"/>
              <w:rPr>
                <w:rFonts w:ascii="宋体" w:hAnsi="宋体"/>
                <w:color w:val="auto"/>
                <w:kern w:val="0"/>
                <w:szCs w:val="21"/>
                <w:highlight w:val="none"/>
              </w:rPr>
            </w:pPr>
            <w:r>
              <w:rPr>
                <w:rFonts w:hint="eastAsia" w:ascii="宋体" w:hAnsi="宋体"/>
                <w:color w:val="auto"/>
                <w:kern w:val="0"/>
                <w:szCs w:val="21"/>
                <w:highlight w:val="none"/>
              </w:rPr>
              <w:t>付款方式</w:t>
            </w:r>
          </w:p>
        </w:tc>
        <w:tc>
          <w:tcPr>
            <w:tcW w:w="6654" w:type="dxa"/>
            <w:gridSpan w:val="3"/>
            <w:tcBorders>
              <w:top w:val="single" w:color="auto" w:sz="6" w:space="0"/>
              <w:left w:val="single" w:color="auto" w:sz="6" w:space="0"/>
              <w:bottom w:val="single" w:color="auto" w:sz="6" w:space="0"/>
              <w:right w:val="double" w:color="auto" w:sz="4" w:space="0"/>
            </w:tcBorders>
            <w:vAlign w:val="center"/>
          </w:tcPr>
          <w:p w14:paraId="4AC46B5B">
            <w:pPr>
              <w:spacing w:line="420" w:lineRule="exact"/>
              <w:rPr>
                <w:color w:val="auto"/>
                <w:szCs w:val="21"/>
                <w:highlight w:val="none"/>
              </w:rPr>
            </w:pPr>
          </w:p>
        </w:tc>
      </w:tr>
      <w:tr w14:paraId="210032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2168" w:type="dxa"/>
            <w:tcBorders>
              <w:top w:val="single" w:color="auto" w:sz="6" w:space="0"/>
              <w:left w:val="double" w:color="auto" w:sz="4" w:space="0"/>
              <w:bottom w:val="single" w:color="auto" w:sz="6" w:space="0"/>
              <w:right w:val="single" w:color="auto" w:sz="6" w:space="0"/>
            </w:tcBorders>
            <w:vAlign w:val="center"/>
          </w:tcPr>
          <w:p w14:paraId="281BBDF8">
            <w:pPr>
              <w:spacing w:line="420" w:lineRule="exact"/>
              <w:jc w:val="center"/>
              <w:rPr>
                <w:color w:val="auto"/>
                <w:szCs w:val="21"/>
                <w:highlight w:val="none"/>
              </w:rPr>
            </w:pPr>
            <w:r>
              <w:rPr>
                <w:rFonts w:hint="eastAsia" w:ascii="宋体" w:hAnsi="宋体"/>
                <w:color w:val="auto"/>
                <w:kern w:val="0"/>
                <w:szCs w:val="21"/>
                <w:highlight w:val="none"/>
              </w:rPr>
              <w:t>项目经理姓名、注册证书名称及编号</w:t>
            </w:r>
          </w:p>
        </w:tc>
        <w:tc>
          <w:tcPr>
            <w:tcW w:w="6654" w:type="dxa"/>
            <w:gridSpan w:val="3"/>
            <w:tcBorders>
              <w:top w:val="single" w:color="auto" w:sz="6" w:space="0"/>
              <w:left w:val="single" w:color="auto" w:sz="6" w:space="0"/>
              <w:bottom w:val="single" w:color="auto" w:sz="6" w:space="0"/>
              <w:right w:val="double" w:color="auto" w:sz="4" w:space="0"/>
            </w:tcBorders>
            <w:vAlign w:val="center"/>
          </w:tcPr>
          <w:p w14:paraId="0FD604FA">
            <w:pPr>
              <w:spacing w:line="420" w:lineRule="exact"/>
              <w:rPr>
                <w:iCs/>
                <w:color w:val="auto"/>
                <w:szCs w:val="21"/>
                <w:highlight w:val="none"/>
              </w:rPr>
            </w:pPr>
          </w:p>
        </w:tc>
      </w:tr>
      <w:tr w14:paraId="715B85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168" w:type="dxa"/>
            <w:tcBorders>
              <w:top w:val="single" w:color="auto" w:sz="6" w:space="0"/>
              <w:left w:val="double" w:color="auto" w:sz="4" w:space="0"/>
              <w:bottom w:val="double" w:color="auto" w:sz="4" w:space="0"/>
              <w:right w:val="single" w:color="auto" w:sz="6" w:space="0"/>
            </w:tcBorders>
            <w:vAlign w:val="center"/>
          </w:tcPr>
          <w:p w14:paraId="22C5F20D">
            <w:pPr>
              <w:spacing w:line="420" w:lineRule="exact"/>
              <w:jc w:val="center"/>
              <w:rPr>
                <w:color w:val="auto"/>
                <w:szCs w:val="21"/>
                <w:highlight w:val="none"/>
              </w:rPr>
            </w:pPr>
            <w:r>
              <w:rPr>
                <w:rFonts w:hint="eastAsia"/>
                <w:color w:val="auto"/>
                <w:szCs w:val="21"/>
                <w:highlight w:val="none"/>
              </w:rPr>
              <w:t>其他事项声明</w:t>
            </w:r>
          </w:p>
        </w:tc>
        <w:tc>
          <w:tcPr>
            <w:tcW w:w="6654" w:type="dxa"/>
            <w:gridSpan w:val="3"/>
            <w:tcBorders>
              <w:top w:val="single" w:color="auto" w:sz="6" w:space="0"/>
              <w:left w:val="single" w:color="auto" w:sz="6" w:space="0"/>
              <w:bottom w:val="double" w:color="auto" w:sz="4" w:space="0"/>
              <w:right w:val="double" w:color="auto" w:sz="4" w:space="0"/>
            </w:tcBorders>
            <w:vAlign w:val="center"/>
          </w:tcPr>
          <w:p w14:paraId="7C4C28CD">
            <w:pPr>
              <w:spacing w:line="420" w:lineRule="exact"/>
              <w:rPr>
                <w:color w:val="auto"/>
                <w:szCs w:val="21"/>
                <w:highlight w:val="none"/>
              </w:rPr>
            </w:pPr>
          </w:p>
        </w:tc>
      </w:tr>
    </w:tbl>
    <w:p w14:paraId="2DC5AF3C">
      <w:pPr>
        <w:rPr>
          <w:color w:val="auto"/>
          <w:highlight w:val="none"/>
        </w:rPr>
      </w:pPr>
    </w:p>
    <w:p w14:paraId="0D75EAC7">
      <w:pPr>
        <w:adjustRightInd w:val="0"/>
        <w:snapToGrid w:val="0"/>
        <w:spacing w:before="156" w:beforeLines="50" w:line="360" w:lineRule="auto"/>
        <w:ind w:firstLine="420" w:firstLineChars="200"/>
        <w:rPr>
          <w:rFonts w:ascii="宋体" w:hAnsi="宋体"/>
          <w:color w:val="auto"/>
          <w:szCs w:val="21"/>
          <w:highlight w:val="none"/>
        </w:rPr>
      </w:pPr>
    </w:p>
    <w:p w14:paraId="56B86F59">
      <w:pPr>
        <w:adjustRightInd w:val="0"/>
        <w:snapToGrid w:val="0"/>
        <w:spacing w:before="156" w:beforeLines="50" w:line="360" w:lineRule="auto"/>
        <w:ind w:firstLine="420" w:firstLineChars="200"/>
        <w:rPr>
          <w:rFonts w:ascii="宋体" w:hAnsi="宋体"/>
          <w:color w:val="auto"/>
          <w:szCs w:val="21"/>
          <w:highlight w:val="none"/>
        </w:rPr>
      </w:pPr>
    </w:p>
    <w:p w14:paraId="031A17F1">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供应商名称（盖单位公章）：</w:t>
      </w:r>
    </w:p>
    <w:p w14:paraId="3CC3D774">
      <w:pPr>
        <w:adjustRightInd w:val="0"/>
        <w:snapToGrid w:val="0"/>
        <w:spacing w:line="360" w:lineRule="auto"/>
        <w:rPr>
          <w:rFonts w:ascii="宋体" w:hAnsi="宋体"/>
          <w:color w:val="auto"/>
          <w:szCs w:val="21"/>
          <w:highlight w:val="none"/>
        </w:rPr>
      </w:pPr>
      <w:r>
        <w:rPr>
          <w:rFonts w:hint="eastAsia" w:ascii="宋体" w:hAnsi="宋体" w:cs="微软雅黑"/>
          <w:color w:val="auto"/>
          <w:spacing w:val="-2"/>
          <w:kern w:val="0"/>
          <w:szCs w:val="21"/>
          <w:highlight w:val="none"/>
        </w:rPr>
        <w:t>法</w:t>
      </w:r>
      <w:r>
        <w:rPr>
          <w:rFonts w:hint="eastAsia" w:ascii="宋体" w:hAnsi="宋体" w:cs="微软雅黑"/>
          <w:color w:val="auto"/>
          <w:kern w:val="0"/>
          <w:szCs w:val="21"/>
          <w:highlight w:val="none"/>
        </w:rPr>
        <w:t>定</w:t>
      </w:r>
      <w:r>
        <w:rPr>
          <w:rFonts w:hint="eastAsia" w:ascii="宋体" w:hAnsi="宋体" w:cs="微软雅黑"/>
          <w:color w:val="auto"/>
          <w:spacing w:val="-2"/>
          <w:kern w:val="0"/>
          <w:szCs w:val="21"/>
          <w:highlight w:val="none"/>
        </w:rPr>
        <w:t>代</w:t>
      </w:r>
      <w:r>
        <w:rPr>
          <w:rFonts w:hint="eastAsia" w:ascii="宋体" w:hAnsi="宋体" w:cs="微软雅黑"/>
          <w:color w:val="auto"/>
          <w:kern w:val="0"/>
          <w:szCs w:val="21"/>
          <w:highlight w:val="none"/>
        </w:rPr>
        <w:t>表</w:t>
      </w:r>
      <w:r>
        <w:rPr>
          <w:rFonts w:hint="eastAsia" w:ascii="宋体" w:hAnsi="宋体" w:cs="微软雅黑"/>
          <w:color w:val="auto"/>
          <w:spacing w:val="-2"/>
          <w:kern w:val="0"/>
          <w:szCs w:val="21"/>
          <w:highlight w:val="none"/>
        </w:rPr>
        <w:t>人</w:t>
      </w:r>
      <w:r>
        <w:rPr>
          <w:rFonts w:hint="eastAsia" w:ascii="宋体" w:hAnsi="宋体" w:cs="微软雅黑"/>
          <w:color w:val="auto"/>
          <w:kern w:val="0"/>
          <w:szCs w:val="21"/>
          <w:highlight w:val="none"/>
        </w:rPr>
        <w:t>（</w:t>
      </w:r>
      <w:r>
        <w:rPr>
          <w:rFonts w:hint="eastAsia" w:ascii="宋体" w:hAnsi="宋体" w:cs="微软雅黑"/>
          <w:color w:val="auto"/>
          <w:spacing w:val="-2"/>
          <w:kern w:val="0"/>
          <w:szCs w:val="21"/>
          <w:highlight w:val="none"/>
        </w:rPr>
        <w:t>单</w:t>
      </w:r>
      <w:r>
        <w:rPr>
          <w:rFonts w:hint="eastAsia" w:ascii="宋体" w:hAnsi="宋体" w:cs="微软雅黑"/>
          <w:color w:val="auto"/>
          <w:kern w:val="0"/>
          <w:szCs w:val="21"/>
          <w:highlight w:val="none"/>
        </w:rPr>
        <w:t>位</w:t>
      </w:r>
      <w:r>
        <w:rPr>
          <w:rFonts w:hint="eastAsia" w:ascii="宋体" w:hAnsi="宋体" w:cs="微软雅黑"/>
          <w:color w:val="auto"/>
          <w:spacing w:val="-2"/>
          <w:kern w:val="0"/>
          <w:szCs w:val="21"/>
          <w:highlight w:val="none"/>
        </w:rPr>
        <w:t>负</w:t>
      </w:r>
      <w:r>
        <w:rPr>
          <w:rFonts w:hint="eastAsia" w:ascii="宋体" w:hAnsi="宋体" w:cs="微软雅黑"/>
          <w:color w:val="auto"/>
          <w:kern w:val="0"/>
          <w:szCs w:val="21"/>
          <w:highlight w:val="none"/>
        </w:rPr>
        <w:t>责人</w:t>
      </w:r>
      <w:r>
        <w:rPr>
          <w:rFonts w:hint="eastAsia" w:ascii="宋体" w:hAnsi="宋体" w:cs="微软雅黑"/>
          <w:color w:val="auto"/>
          <w:spacing w:val="-2"/>
          <w:kern w:val="0"/>
          <w:szCs w:val="21"/>
          <w:highlight w:val="none"/>
        </w:rPr>
        <w:t>）</w:t>
      </w:r>
      <w:r>
        <w:rPr>
          <w:rFonts w:hint="eastAsia" w:ascii="宋体" w:hAnsi="宋体"/>
          <w:color w:val="auto"/>
          <w:szCs w:val="21"/>
          <w:highlight w:val="none"/>
        </w:rPr>
        <w:t>或其授权的代理人（签字或印章）：</w:t>
      </w:r>
    </w:p>
    <w:p w14:paraId="6607E0CD">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日期：    年    月     日</w:t>
      </w:r>
    </w:p>
    <w:p w14:paraId="6A621F11">
      <w:pPr>
        <w:keepNext/>
        <w:keepLines/>
        <w:adjustRightInd w:val="0"/>
        <w:snapToGrid w:val="0"/>
        <w:spacing w:before="156" w:beforeLines="50" w:line="360" w:lineRule="auto"/>
        <w:outlineLvl w:val="2"/>
        <w:rPr>
          <w:rFonts w:ascii="宋体" w:hAnsi="宋体"/>
          <w:b/>
          <w:bCs/>
          <w:color w:val="auto"/>
          <w:szCs w:val="21"/>
          <w:highlight w:val="none"/>
        </w:rPr>
      </w:pPr>
      <w:r>
        <w:rPr>
          <w:rFonts w:ascii="黑体" w:hAnsi="黑体" w:eastAsia="黑体"/>
          <w:bCs/>
          <w:color w:val="auto"/>
          <w:sz w:val="30"/>
          <w:szCs w:val="30"/>
          <w:highlight w:val="none"/>
        </w:rPr>
        <w:br w:type="page"/>
      </w:r>
      <w:bookmarkStart w:id="10" w:name="_Toc107998030"/>
      <w:bookmarkStart w:id="11" w:name="_Toc11350"/>
      <w:bookmarkStart w:id="12" w:name="_Toc31"/>
      <w:bookmarkStart w:id="13" w:name="_Toc29516"/>
      <w:bookmarkStart w:id="14" w:name="_Toc8671"/>
      <w:bookmarkStart w:id="15" w:name="_Toc9830"/>
      <w:r>
        <w:rPr>
          <w:rFonts w:hint="eastAsia" w:ascii="宋体" w:hAnsi="宋体"/>
          <w:b/>
          <w:bCs/>
          <w:color w:val="auto"/>
          <w:szCs w:val="21"/>
          <w:highlight w:val="none"/>
        </w:rPr>
        <w:t>附件</w:t>
      </w:r>
      <w:r>
        <w:rPr>
          <w:rFonts w:ascii="宋体" w:hAnsi="宋体"/>
          <w:b/>
          <w:bCs/>
          <w:color w:val="auto"/>
          <w:szCs w:val="21"/>
          <w:highlight w:val="none"/>
        </w:rPr>
        <w:t>1</w:t>
      </w:r>
      <w:r>
        <w:rPr>
          <w:rFonts w:hint="eastAsia" w:ascii="宋体" w:hAnsi="宋体"/>
          <w:b/>
          <w:bCs/>
          <w:color w:val="auto"/>
          <w:szCs w:val="21"/>
          <w:highlight w:val="none"/>
        </w:rPr>
        <w:t>-2分项报价说明</w:t>
      </w:r>
      <w:bookmarkEnd w:id="10"/>
      <w:bookmarkEnd w:id="11"/>
      <w:bookmarkEnd w:id="12"/>
      <w:bookmarkEnd w:id="13"/>
      <w:bookmarkEnd w:id="14"/>
      <w:bookmarkEnd w:id="15"/>
    </w:p>
    <w:p w14:paraId="160FA249">
      <w:pPr>
        <w:autoSpaceDE w:val="0"/>
        <w:autoSpaceDN w:val="0"/>
        <w:adjustRightInd w:val="0"/>
        <w:snapToGrid w:val="0"/>
        <w:spacing w:before="156" w:beforeLines="50" w:line="360" w:lineRule="auto"/>
        <w:jc w:val="center"/>
        <w:rPr>
          <w:color w:val="auto"/>
          <w:highlight w:val="none"/>
        </w:rPr>
      </w:pPr>
      <w:r>
        <w:rPr>
          <w:rFonts w:hint="eastAsia" w:ascii="黑体" w:hAnsi="宋体" w:eastAsia="黑体" w:cs="微软雅黑"/>
          <w:b/>
          <w:color w:val="auto"/>
          <w:spacing w:val="-2"/>
          <w:kern w:val="0"/>
          <w:sz w:val="28"/>
          <w:szCs w:val="28"/>
          <w:highlight w:val="none"/>
        </w:rPr>
        <w:t>报价文件</w:t>
      </w:r>
    </w:p>
    <w:p w14:paraId="00070DE3">
      <w:pPr>
        <w:ind w:firstLine="420" w:firstLineChars="200"/>
        <w:rPr>
          <w:rFonts w:hint="default" w:ascii="宋体" w:eastAsia="宋体"/>
          <w:b/>
          <w:bCs/>
          <w:color w:val="auto"/>
          <w:highlight w:val="none"/>
          <w:lang w:val="en-US" w:eastAsia="zh-CN"/>
        </w:rPr>
      </w:pPr>
      <w:r>
        <w:rPr>
          <w:rFonts w:hint="eastAsia" w:ascii="宋体"/>
          <w:b/>
          <w:bCs/>
          <w:color w:val="auto"/>
          <w:szCs w:val="21"/>
          <w:highlight w:val="none"/>
        </w:rPr>
        <w:t>按采购文件附件提供的工程量清单报价</w:t>
      </w:r>
      <w:r>
        <w:rPr>
          <w:rFonts w:hint="eastAsia" w:ascii="宋体"/>
          <w:b/>
          <w:bCs/>
          <w:color w:val="auto"/>
          <w:szCs w:val="21"/>
          <w:highlight w:val="none"/>
          <w:lang w:eastAsia="zh-CN"/>
        </w:rPr>
        <w:t>，</w:t>
      </w:r>
      <w:r>
        <w:rPr>
          <w:rFonts w:hint="eastAsia" w:ascii="宋体"/>
          <w:b/>
          <w:bCs/>
          <w:color w:val="auto"/>
          <w:szCs w:val="21"/>
          <w:highlight w:val="none"/>
          <w:lang w:val="en-US" w:eastAsia="zh-CN"/>
        </w:rPr>
        <w:t>报价要求详见第四章采购需求及工程量清单。</w:t>
      </w:r>
    </w:p>
    <w:p w14:paraId="34E93A7F">
      <w:pPr>
        <w:numPr>
          <w:ilvl w:val="255"/>
          <w:numId w:val="0"/>
        </w:numPr>
        <w:spacing w:line="440" w:lineRule="exact"/>
        <w:ind w:firstLine="840" w:firstLineChars="400"/>
        <w:rPr>
          <w:rFonts w:hint="eastAsia" w:ascii="宋体"/>
          <w:color w:val="auto"/>
          <w:kern w:val="0"/>
          <w:szCs w:val="21"/>
          <w:highlight w:val="none"/>
        </w:rPr>
      </w:pPr>
    </w:p>
    <w:p w14:paraId="63F76167">
      <w:pPr>
        <w:numPr>
          <w:ilvl w:val="255"/>
          <w:numId w:val="0"/>
        </w:numPr>
        <w:spacing w:line="440" w:lineRule="exact"/>
        <w:ind w:firstLine="840" w:firstLineChars="400"/>
        <w:rPr>
          <w:rFonts w:hint="eastAsia" w:ascii="宋体"/>
          <w:color w:val="auto"/>
          <w:kern w:val="0"/>
          <w:szCs w:val="21"/>
          <w:highlight w:val="none"/>
        </w:rPr>
      </w:pPr>
    </w:p>
    <w:p w14:paraId="4BF9BFFF">
      <w:pPr>
        <w:pStyle w:val="19"/>
        <w:tabs>
          <w:tab w:val="left" w:pos="900"/>
        </w:tabs>
        <w:spacing w:before="0" w:beforeAutospacing="0" w:after="0" w:afterAutospacing="0" w:line="400" w:lineRule="exact"/>
        <w:jc w:val="center"/>
        <w:rPr>
          <w:rFonts w:hint="eastAsia" w:ascii="仿宋" w:hAnsi="仿宋" w:eastAsia="仿宋" w:cs="仿宋"/>
          <w:color w:val="auto"/>
          <w:sz w:val="24"/>
          <w:szCs w:val="24"/>
          <w:highlight w:val="none"/>
          <w:u w:val="single"/>
          <w:lang w:val="en-US" w:eastAsia="zh-CN"/>
        </w:rPr>
      </w:pPr>
      <w:bookmarkStart w:id="16" w:name="_Toc107998033"/>
      <w:bookmarkStart w:id="17" w:name="_Toc20516"/>
      <w:r>
        <w:rPr>
          <w:rFonts w:hint="eastAsia" w:ascii="仿宋" w:hAnsi="仿宋" w:eastAsia="仿宋" w:cs="仿宋"/>
          <w:color w:val="auto"/>
          <w:sz w:val="24"/>
          <w:szCs w:val="24"/>
          <w:highlight w:val="none"/>
          <w:u w:val="single"/>
          <w:lang w:val="en-US" w:eastAsia="zh-CN"/>
        </w:rPr>
        <w:t>株洲北斗应用与信息技术产业示范基地配套基础设施项目（一期）</w:t>
      </w:r>
    </w:p>
    <w:p w14:paraId="4BE950B9">
      <w:pPr>
        <w:pStyle w:val="19"/>
        <w:tabs>
          <w:tab w:val="left" w:pos="900"/>
        </w:tabs>
        <w:spacing w:before="0" w:beforeAutospacing="0" w:after="0" w:afterAutospacing="0" w:line="400" w:lineRule="exact"/>
        <w:jc w:val="center"/>
        <w:rPr>
          <w:rFonts w:hint="eastAsia" w:ascii="仿宋" w:hAnsi="仿宋" w:eastAsia="仿宋" w:cs="仿宋"/>
          <w:b/>
          <w:bCs/>
          <w:color w:val="auto"/>
          <w:kern w:val="0"/>
          <w:sz w:val="24"/>
          <w:szCs w:val="24"/>
          <w:highlight w:val="none"/>
          <w:u w:val="none" w:color="000000"/>
          <w:lang w:val="en-US" w:eastAsia="zh-CN" w:bidi="ar-SA"/>
        </w:rPr>
      </w:pPr>
      <w:r>
        <w:rPr>
          <w:rFonts w:hint="eastAsia" w:ascii="仿宋" w:hAnsi="仿宋" w:eastAsia="仿宋" w:cs="仿宋"/>
          <w:b/>
          <w:bCs/>
          <w:color w:val="auto"/>
          <w:kern w:val="0"/>
          <w:sz w:val="24"/>
          <w:szCs w:val="24"/>
          <w:highlight w:val="none"/>
          <w:u w:val="none" w:color="000000"/>
          <w:lang w:val="en-US" w:eastAsia="zh-CN" w:bidi="ar-SA"/>
        </w:rPr>
        <w:t>工程量清单</w:t>
      </w:r>
    </w:p>
    <w:tbl>
      <w:tblPr>
        <w:tblStyle w:val="20"/>
        <w:tblW w:w="937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1343"/>
        <w:gridCol w:w="2385"/>
        <w:gridCol w:w="802"/>
        <w:gridCol w:w="1125"/>
        <w:gridCol w:w="1080"/>
        <w:gridCol w:w="1556"/>
      </w:tblGrid>
      <w:tr w14:paraId="32448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0EB35">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FC94A">
            <w:pPr>
              <w:keepNext w:val="0"/>
              <w:keepLines w:val="0"/>
              <w:widowControl/>
              <w:suppressLineNumbers w:val="0"/>
              <w:jc w:val="center"/>
              <w:textAlignment w:val="center"/>
              <w:rPr>
                <w:rFonts w:hint="default" w:ascii="楷体" w:hAnsi="楷体" w:eastAsia="楷体" w:cs="楷体"/>
                <w:b/>
                <w:bCs/>
                <w:i w:val="0"/>
                <w:iCs w:val="0"/>
                <w:color w:val="000000"/>
                <w:kern w:val="0"/>
                <w:sz w:val="24"/>
                <w:szCs w:val="24"/>
                <w:u w:val="none"/>
                <w:lang w:val="en-US" w:eastAsia="zh-CN" w:bidi="ar"/>
              </w:rPr>
            </w:pPr>
            <w:r>
              <w:rPr>
                <w:rFonts w:hint="eastAsia" w:ascii="楷体" w:hAnsi="楷体" w:eastAsia="楷体" w:cs="楷体"/>
                <w:b/>
                <w:bCs/>
                <w:i w:val="0"/>
                <w:iCs w:val="0"/>
                <w:color w:val="000000"/>
                <w:kern w:val="0"/>
                <w:sz w:val="24"/>
                <w:szCs w:val="24"/>
                <w:u w:val="none"/>
                <w:lang w:val="en-US" w:eastAsia="zh-CN" w:bidi="ar"/>
              </w:rPr>
              <w:t>内容</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E45C">
            <w:pPr>
              <w:keepNext w:val="0"/>
              <w:keepLines w:val="0"/>
              <w:widowControl/>
              <w:suppressLineNumbers w:val="0"/>
              <w:jc w:val="center"/>
              <w:textAlignment w:val="center"/>
              <w:rPr>
                <w:rFonts w:hint="default" w:ascii="楷体" w:hAnsi="楷体" w:eastAsia="楷体" w:cs="楷体"/>
                <w:b/>
                <w:bCs/>
                <w:i w:val="0"/>
                <w:iCs w:val="0"/>
                <w:color w:val="000000"/>
                <w:kern w:val="0"/>
                <w:sz w:val="24"/>
                <w:szCs w:val="24"/>
                <w:u w:val="none"/>
                <w:lang w:val="en-US" w:eastAsia="zh-CN" w:bidi="ar"/>
              </w:rPr>
            </w:pPr>
            <w:r>
              <w:rPr>
                <w:rFonts w:hint="eastAsia" w:ascii="楷体" w:hAnsi="楷体" w:eastAsia="楷体" w:cs="楷体"/>
                <w:b/>
                <w:bCs/>
                <w:i w:val="0"/>
                <w:iCs w:val="0"/>
                <w:color w:val="000000"/>
                <w:kern w:val="0"/>
                <w:sz w:val="24"/>
                <w:szCs w:val="24"/>
                <w:u w:val="none"/>
                <w:lang w:val="en-US" w:eastAsia="zh-CN" w:bidi="ar"/>
              </w:rPr>
              <w:t>工作内容</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C5693">
            <w:pPr>
              <w:keepNext w:val="0"/>
              <w:keepLines w:val="0"/>
              <w:widowControl/>
              <w:suppressLineNumbers w:val="0"/>
              <w:jc w:val="center"/>
              <w:textAlignment w:val="center"/>
              <w:rPr>
                <w:rFonts w:hint="default" w:ascii="楷体" w:hAnsi="楷体" w:eastAsia="楷体" w:cs="楷体"/>
                <w:b/>
                <w:bCs/>
                <w:i w:val="0"/>
                <w:iCs w:val="0"/>
                <w:color w:val="000000"/>
                <w:kern w:val="0"/>
                <w:sz w:val="24"/>
                <w:szCs w:val="24"/>
                <w:u w:val="none"/>
                <w:lang w:val="en-US" w:eastAsia="zh-CN" w:bidi="ar"/>
              </w:rPr>
            </w:pPr>
            <w:r>
              <w:rPr>
                <w:rFonts w:hint="eastAsia" w:ascii="楷体" w:hAnsi="楷体" w:eastAsia="楷体" w:cs="楷体"/>
                <w:b/>
                <w:bCs/>
                <w:i w:val="0"/>
                <w:iCs w:val="0"/>
                <w:color w:val="000000"/>
                <w:kern w:val="0"/>
                <w:sz w:val="24"/>
                <w:szCs w:val="24"/>
                <w:u w:val="none"/>
                <w:lang w:val="en-US" w:eastAsia="zh-CN" w:bidi="ar"/>
              </w:rPr>
              <w:t>单位</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85718">
            <w:pPr>
              <w:keepNext w:val="0"/>
              <w:keepLines w:val="0"/>
              <w:widowControl/>
              <w:suppressLineNumbers w:val="0"/>
              <w:jc w:val="center"/>
              <w:textAlignment w:val="center"/>
              <w:rPr>
                <w:rFonts w:hint="default" w:ascii="楷体" w:hAnsi="楷体" w:eastAsia="楷体" w:cs="楷体"/>
                <w:b/>
                <w:bCs/>
                <w:i w:val="0"/>
                <w:iCs w:val="0"/>
                <w:color w:val="000000"/>
                <w:kern w:val="0"/>
                <w:sz w:val="24"/>
                <w:szCs w:val="24"/>
                <w:u w:val="none"/>
                <w:lang w:val="en-US" w:eastAsia="zh-CN" w:bidi="ar"/>
              </w:rPr>
            </w:pPr>
            <w:r>
              <w:rPr>
                <w:rFonts w:hint="eastAsia" w:ascii="楷体" w:hAnsi="楷体" w:eastAsia="楷体" w:cs="楷体"/>
                <w:b/>
                <w:bCs/>
                <w:i w:val="0"/>
                <w:iCs w:val="0"/>
                <w:color w:val="000000"/>
                <w:kern w:val="0"/>
                <w:sz w:val="24"/>
                <w:szCs w:val="24"/>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BCE09">
            <w:pPr>
              <w:keepNext w:val="0"/>
              <w:keepLines w:val="0"/>
              <w:widowControl/>
              <w:suppressLineNumbers w:val="0"/>
              <w:jc w:val="center"/>
              <w:textAlignment w:val="center"/>
              <w:rPr>
                <w:rFonts w:hint="default" w:ascii="楷体" w:hAnsi="楷体" w:eastAsia="楷体" w:cs="楷体"/>
                <w:b/>
                <w:bCs/>
                <w:i w:val="0"/>
                <w:iCs w:val="0"/>
                <w:color w:val="000000"/>
                <w:kern w:val="0"/>
                <w:sz w:val="24"/>
                <w:szCs w:val="24"/>
                <w:u w:val="none"/>
                <w:lang w:val="en-US" w:eastAsia="zh-CN" w:bidi="ar"/>
              </w:rPr>
            </w:pPr>
            <w:r>
              <w:rPr>
                <w:rFonts w:hint="eastAsia" w:ascii="楷体" w:hAnsi="楷体" w:eastAsia="楷体" w:cs="楷体"/>
                <w:b/>
                <w:bCs/>
                <w:i w:val="0"/>
                <w:iCs w:val="0"/>
                <w:color w:val="000000"/>
                <w:kern w:val="0"/>
                <w:sz w:val="24"/>
                <w:szCs w:val="24"/>
                <w:u w:val="none"/>
                <w:lang w:val="en-US" w:eastAsia="zh-CN" w:bidi="ar"/>
              </w:rPr>
              <w:t>单价（元）</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012C">
            <w:pPr>
              <w:keepNext w:val="0"/>
              <w:keepLines w:val="0"/>
              <w:widowControl/>
              <w:suppressLineNumbers w:val="0"/>
              <w:jc w:val="center"/>
              <w:textAlignment w:val="center"/>
              <w:rPr>
                <w:rFonts w:hint="default" w:ascii="楷体" w:hAnsi="楷体" w:eastAsia="楷体" w:cs="楷体"/>
                <w:b/>
                <w:bCs/>
                <w:i w:val="0"/>
                <w:iCs w:val="0"/>
                <w:color w:val="000000"/>
                <w:kern w:val="0"/>
                <w:sz w:val="24"/>
                <w:szCs w:val="24"/>
                <w:u w:val="none"/>
                <w:lang w:val="en-US" w:eastAsia="zh-CN" w:bidi="ar"/>
              </w:rPr>
            </w:pPr>
            <w:r>
              <w:rPr>
                <w:rFonts w:hint="eastAsia" w:ascii="楷体" w:hAnsi="楷体" w:eastAsia="楷体" w:cs="楷体"/>
                <w:b/>
                <w:bCs/>
                <w:i w:val="0"/>
                <w:iCs w:val="0"/>
                <w:color w:val="000000"/>
                <w:kern w:val="0"/>
                <w:sz w:val="24"/>
                <w:szCs w:val="24"/>
                <w:u w:val="none"/>
                <w:lang w:val="en-US" w:eastAsia="zh-CN" w:bidi="ar"/>
              </w:rPr>
              <w:t>总价（元）</w:t>
            </w:r>
          </w:p>
        </w:tc>
      </w:tr>
      <w:tr w14:paraId="02B7D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D14B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E8F7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钢结构安装费</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43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auto"/>
                <w:sz w:val="24"/>
                <w:szCs w:val="24"/>
                <w:highlight w:val="none"/>
                <w:u w:val="none" w:color="auto"/>
              </w:rPr>
              <w:t>施工图纸所示的全部工作内容，包括但不限于清单范围内预埋铁件（螺栓）、钢柱、钢支架、彩钢板包封、镀锌钢板天沟、压型钢板屋面、钢构件防腐涂料、防火涂料、复合保温一体化墙板</w:t>
            </w:r>
            <w:r>
              <w:rPr>
                <w:rFonts w:hint="eastAsia" w:ascii="宋体" w:hAnsi="宋体" w:eastAsia="宋体" w:cs="宋体"/>
                <w:color w:val="auto"/>
                <w:sz w:val="24"/>
                <w:szCs w:val="24"/>
                <w:highlight w:val="none"/>
                <w:u w:val="none" w:color="auto"/>
                <w:lang w:eastAsia="zh-CN"/>
              </w:rPr>
              <w:t>、</w:t>
            </w:r>
            <w:r>
              <w:rPr>
                <w:rFonts w:hint="eastAsia" w:ascii="宋体" w:hAnsi="宋体" w:eastAsia="宋体" w:cs="宋体"/>
                <w:color w:val="auto"/>
                <w:sz w:val="24"/>
                <w:szCs w:val="24"/>
                <w:highlight w:val="none"/>
                <w:u w:val="none" w:color="auto"/>
              </w:rPr>
              <w:t>零星钢构件等</w:t>
            </w:r>
            <w:r>
              <w:rPr>
                <w:rFonts w:hint="eastAsia" w:ascii="宋体" w:hAnsi="宋体" w:eastAsia="宋体" w:cs="宋体"/>
                <w:color w:val="auto"/>
                <w:sz w:val="24"/>
                <w:szCs w:val="24"/>
                <w:highlight w:val="none"/>
                <w:u w:val="none" w:color="auto"/>
                <w:lang w:val="en-US" w:eastAsia="zh-CN"/>
              </w:rPr>
              <w:t>安装</w:t>
            </w:r>
            <w:r>
              <w:rPr>
                <w:rFonts w:hint="eastAsia" w:ascii="宋体" w:hAnsi="宋体" w:eastAsia="宋体" w:cs="宋体"/>
                <w:color w:val="auto"/>
                <w:sz w:val="24"/>
                <w:szCs w:val="24"/>
                <w:highlight w:val="none"/>
                <w:u w:val="none" w:color="auto"/>
              </w:rPr>
              <w:t>以及清单漏项的全</w:t>
            </w:r>
            <w:r>
              <w:rPr>
                <w:rFonts w:hint="eastAsia" w:ascii="宋体" w:hAnsi="宋体" w:eastAsia="宋体" w:cs="宋体"/>
                <w:color w:val="auto"/>
                <w:sz w:val="24"/>
                <w:szCs w:val="24"/>
                <w:highlight w:val="none"/>
                <w:u w:val="none" w:color="auto"/>
                <w:lang w:val="en-US" w:eastAsia="zh-CN"/>
              </w:rPr>
              <w:t>部安装</w:t>
            </w:r>
            <w:r>
              <w:rPr>
                <w:rFonts w:hint="eastAsia" w:ascii="宋体" w:hAnsi="宋体" w:eastAsia="宋体" w:cs="宋体"/>
                <w:color w:val="auto"/>
                <w:sz w:val="24"/>
                <w:szCs w:val="24"/>
                <w:highlight w:val="none"/>
                <w:u w:val="none" w:color="auto"/>
              </w:rPr>
              <w:t>内容。</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244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EBF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1152.38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05EE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35EA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p>
        </w:tc>
      </w:tr>
      <w:tr w14:paraId="1C257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81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2A5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DC4C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14:paraId="4FC5BEF7">
      <w:pPr>
        <w:pStyle w:val="19"/>
        <w:tabs>
          <w:tab w:val="left" w:pos="900"/>
        </w:tabs>
        <w:spacing w:before="0" w:beforeAutospacing="0" w:after="0" w:afterAutospacing="0" w:line="400" w:lineRule="exact"/>
        <w:jc w:val="center"/>
        <w:rPr>
          <w:rFonts w:hint="eastAsia" w:ascii="仿宋" w:hAnsi="仿宋" w:eastAsia="仿宋" w:cs="仿宋"/>
          <w:b/>
          <w:bCs/>
          <w:color w:val="auto"/>
          <w:kern w:val="0"/>
          <w:sz w:val="24"/>
          <w:szCs w:val="24"/>
          <w:highlight w:val="none"/>
          <w:u w:val="none" w:color="000000"/>
          <w:lang w:val="en-US" w:eastAsia="zh-CN" w:bidi="ar-SA"/>
        </w:rPr>
      </w:pPr>
    </w:p>
    <w:p w14:paraId="479F21EF">
      <w:pPr>
        <w:keepNext/>
        <w:keepLines/>
        <w:spacing w:line="360" w:lineRule="auto"/>
        <w:jc w:val="center"/>
        <w:outlineLvl w:val="1"/>
        <w:rPr>
          <w:rFonts w:hint="eastAsia" w:ascii="黑体" w:hAnsi="黑体" w:eastAsia="黑体"/>
          <w:b/>
          <w:bCs/>
          <w:color w:val="auto"/>
          <w:sz w:val="28"/>
          <w:szCs w:val="28"/>
          <w:highlight w:val="none"/>
        </w:rPr>
        <w:sectPr>
          <w:pgSz w:w="11906" w:h="16838"/>
          <w:pgMar w:top="1418" w:right="1418" w:bottom="1134" w:left="1418" w:header="851" w:footer="992" w:gutter="0"/>
          <w:pgNumType w:fmt="decimal"/>
          <w:cols w:space="720" w:num="1"/>
          <w:docGrid w:type="linesAndChars" w:linePitch="312" w:charSpace="0"/>
        </w:sectPr>
      </w:pPr>
    </w:p>
    <w:p w14:paraId="441BF92A">
      <w:pPr>
        <w:keepNext/>
        <w:keepLines/>
        <w:spacing w:line="360" w:lineRule="auto"/>
        <w:jc w:val="center"/>
        <w:outlineLvl w:val="1"/>
        <w:rPr>
          <w:rFonts w:ascii="黑体" w:hAnsi="黑体" w:eastAsia="黑体"/>
          <w:b/>
          <w:bCs/>
          <w:color w:val="auto"/>
          <w:sz w:val="28"/>
          <w:szCs w:val="28"/>
          <w:highlight w:val="none"/>
        </w:rPr>
      </w:pPr>
      <w:bookmarkStart w:id="18" w:name="_Toc7590"/>
      <w:r>
        <w:rPr>
          <w:rFonts w:hint="eastAsia" w:ascii="黑体" w:hAnsi="黑体" w:eastAsia="黑体"/>
          <w:b/>
          <w:bCs/>
          <w:color w:val="auto"/>
          <w:sz w:val="28"/>
          <w:szCs w:val="28"/>
          <w:highlight w:val="none"/>
        </w:rPr>
        <w:t>二、</w:t>
      </w:r>
      <w:r>
        <w:rPr>
          <w:rFonts w:hint="eastAsia" w:ascii="黑体" w:hAnsi="黑体" w:eastAsia="黑体"/>
          <w:b/>
          <w:bCs/>
          <w:color w:val="auto"/>
          <w:sz w:val="28"/>
          <w:szCs w:val="28"/>
          <w:highlight w:val="none"/>
          <w:lang w:eastAsia="zh-CN"/>
        </w:rPr>
        <w:t>竞争性谈判</w:t>
      </w:r>
      <w:r>
        <w:rPr>
          <w:rFonts w:hint="eastAsia" w:ascii="黑体" w:hAnsi="黑体" w:eastAsia="黑体"/>
          <w:b/>
          <w:bCs/>
          <w:color w:val="auto"/>
          <w:sz w:val="28"/>
          <w:szCs w:val="28"/>
          <w:highlight w:val="none"/>
        </w:rPr>
        <w:t>响应声明(格式)</w:t>
      </w:r>
      <w:bookmarkEnd w:id="16"/>
      <w:bookmarkEnd w:id="17"/>
      <w:bookmarkEnd w:id="18"/>
    </w:p>
    <w:p w14:paraId="59D1860B">
      <w:pPr>
        <w:adjustRightInd w:val="0"/>
        <w:snapToGrid w:val="0"/>
        <w:spacing w:before="156" w:beforeLines="50" w:line="360" w:lineRule="auto"/>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 xml:space="preserve"> (采购人)</w:t>
      </w:r>
      <w:r>
        <w:rPr>
          <w:rFonts w:hint="eastAsia" w:ascii="宋体" w:hAnsi="宋体"/>
          <w:color w:val="auto"/>
          <w:szCs w:val="21"/>
          <w:highlight w:val="none"/>
        </w:rPr>
        <w:t>：</w:t>
      </w:r>
    </w:p>
    <w:p w14:paraId="5F5E9FAE">
      <w:pPr>
        <w:adjustRightInd w:val="0"/>
        <w:snapToGrid w:val="0"/>
        <w:spacing w:before="156" w:beforeLines="50" w:line="360" w:lineRule="auto"/>
        <w:ind w:firstLine="435"/>
        <w:rPr>
          <w:rFonts w:ascii="宋体" w:hAnsi="宋体"/>
          <w:color w:val="auto"/>
          <w:szCs w:val="21"/>
          <w:highlight w:val="none"/>
        </w:rPr>
      </w:pPr>
      <w:r>
        <w:rPr>
          <w:rFonts w:hint="eastAsia" w:ascii="宋体" w:hAnsi="宋体"/>
          <w:color w:val="auto"/>
          <w:szCs w:val="21"/>
          <w:highlight w:val="none"/>
        </w:rPr>
        <w:t>根据贵方为</w:t>
      </w:r>
      <w:r>
        <w:rPr>
          <w:rFonts w:hint="eastAsia" w:ascii="宋体" w:hAnsi="宋体"/>
          <w:iCs/>
          <w:color w:val="auto"/>
          <w:highlight w:val="none"/>
          <w:u w:val="single"/>
        </w:rPr>
        <w:t xml:space="preserve">           </w:t>
      </w:r>
      <w:r>
        <w:rPr>
          <w:rFonts w:hint="eastAsia" w:ascii="宋体" w:hAnsi="宋体"/>
          <w:iCs/>
          <w:color w:val="auto"/>
          <w:highlight w:val="none"/>
        </w:rPr>
        <w:t xml:space="preserve"> </w:t>
      </w:r>
      <w:r>
        <w:rPr>
          <w:rFonts w:hint="eastAsia" w:ascii="宋体" w:hAnsi="宋体"/>
          <w:color w:val="auto"/>
          <w:szCs w:val="21"/>
          <w:highlight w:val="none"/>
          <w:u w:val="single"/>
        </w:rPr>
        <w:t>（项目名称）</w:t>
      </w:r>
      <w:r>
        <w:rPr>
          <w:rFonts w:hint="eastAsia" w:ascii="宋体" w:hAnsi="宋体"/>
          <w:color w:val="auto"/>
          <w:szCs w:val="21"/>
          <w:highlight w:val="none"/>
        </w:rPr>
        <w:t>的</w:t>
      </w:r>
      <w:r>
        <w:rPr>
          <w:rFonts w:hint="eastAsia" w:ascii="宋体" w:hAnsi="宋体"/>
          <w:color w:val="auto"/>
          <w:szCs w:val="21"/>
          <w:highlight w:val="none"/>
          <w:lang w:eastAsia="zh-CN"/>
        </w:rPr>
        <w:t>竞争性谈判</w:t>
      </w:r>
      <w:r>
        <w:rPr>
          <w:rFonts w:hint="eastAsia" w:ascii="宋体" w:hAnsi="宋体"/>
          <w:color w:val="auto"/>
          <w:szCs w:val="21"/>
          <w:highlight w:val="none"/>
        </w:rPr>
        <w:t>邀请（</w:t>
      </w:r>
      <w:r>
        <w:rPr>
          <w:rFonts w:hint="eastAsia" w:ascii="宋体" w:hAnsi="宋体"/>
          <w:color w:val="auto"/>
          <w:szCs w:val="21"/>
          <w:highlight w:val="none"/>
          <w:lang w:eastAsia="zh-CN"/>
        </w:rPr>
        <w:t>竞争性谈判</w:t>
      </w:r>
      <w:r>
        <w:rPr>
          <w:rFonts w:hint="eastAsia" w:ascii="宋体" w:hAnsi="宋体"/>
          <w:color w:val="auto"/>
          <w:highlight w:val="none"/>
        </w:rPr>
        <w:t>采购编号</w:t>
      </w:r>
      <w:r>
        <w:rPr>
          <w:rFonts w:hint="eastAsia" w:ascii="宋体" w:hAnsi="宋体"/>
          <w:iCs/>
          <w:color w:val="auto"/>
          <w:highlight w:val="none"/>
        </w:rPr>
        <w:t>：</w:t>
      </w:r>
      <w:r>
        <w:rPr>
          <w:rFonts w:hint="eastAsia" w:ascii="宋体" w:hAnsi="宋体"/>
          <w:iCs/>
          <w:color w:val="auto"/>
          <w:highlight w:val="none"/>
          <w:u w:val="single"/>
        </w:rPr>
        <w:t xml:space="preserve">           </w:t>
      </w:r>
      <w:r>
        <w:rPr>
          <w:rFonts w:hint="eastAsia" w:ascii="宋体" w:hAnsi="宋体"/>
          <w:iCs/>
          <w:color w:val="auto"/>
          <w:highlight w:val="none"/>
        </w:rPr>
        <w:t xml:space="preserve"> </w:t>
      </w:r>
      <w:r>
        <w:rPr>
          <w:rFonts w:hint="eastAsia" w:ascii="宋体" w:hAnsi="宋体"/>
          <w:color w:val="auto"/>
          <w:szCs w:val="21"/>
          <w:highlight w:val="none"/>
        </w:rPr>
        <w:t>），签字代表</w:t>
      </w:r>
      <w:r>
        <w:rPr>
          <w:rFonts w:hint="eastAsia" w:ascii="宋体" w:hAnsi="宋体"/>
          <w:color w:val="auto"/>
          <w:szCs w:val="21"/>
          <w:highlight w:val="none"/>
          <w:u w:val="single"/>
        </w:rPr>
        <w:t xml:space="preserve"> </w:t>
      </w:r>
      <w:r>
        <w:rPr>
          <w:rFonts w:hint="eastAsia" w:ascii="宋体" w:hAnsi="宋体"/>
          <w:iCs/>
          <w:color w:val="auto"/>
          <w:highlight w:val="none"/>
          <w:u w:val="single"/>
        </w:rPr>
        <w:t xml:space="preserve">           </w:t>
      </w:r>
      <w:r>
        <w:rPr>
          <w:rFonts w:hint="eastAsia" w:ascii="宋体" w:hAnsi="宋体"/>
          <w:iCs/>
          <w:color w:val="auto"/>
          <w:highlight w:val="none"/>
        </w:rPr>
        <w:t xml:space="preserve"> </w:t>
      </w:r>
      <w:r>
        <w:rPr>
          <w:rFonts w:hint="eastAsia" w:ascii="宋体" w:hAnsi="宋体"/>
          <w:color w:val="auto"/>
          <w:szCs w:val="21"/>
          <w:highlight w:val="none"/>
          <w:u w:val="single"/>
        </w:rPr>
        <w:t>（姓名、职务）</w:t>
      </w:r>
      <w:r>
        <w:rPr>
          <w:rFonts w:hint="eastAsia" w:ascii="宋体" w:hAnsi="宋体"/>
          <w:color w:val="auto"/>
          <w:szCs w:val="21"/>
          <w:highlight w:val="none"/>
        </w:rPr>
        <w:t>经正式授权并代表供应商</w:t>
      </w:r>
      <w:r>
        <w:rPr>
          <w:rFonts w:hint="eastAsia" w:ascii="宋体" w:hAnsi="宋体"/>
          <w:color w:val="auto"/>
          <w:szCs w:val="21"/>
          <w:highlight w:val="none"/>
          <w:u w:val="single"/>
        </w:rPr>
        <w:t xml:space="preserve"> </w:t>
      </w:r>
      <w:r>
        <w:rPr>
          <w:rFonts w:hint="eastAsia" w:ascii="宋体" w:hAnsi="宋体"/>
          <w:iCs/>
          <w:color w:val="auto"/>
          <w:highlight w:val="none"/>
          <w:u w:val="single"/>
        </w:rPr>
        <w:t xml:space="preserve">           </w:t>
      </w:r>
      <w:r>
        <w:rPr>
          <w:rFonts w:hint="eastAsia" w:ascii="宋体" w:hAnsi="宋体"/>
          <w:iCs/>
          <w:color w:val="auto"/>
          <w:highlight w:val="none"/>
        </w:rPr>
        <w:t xml:space="preserve"> </w:t>
      </w:r>
      <w:r>
        <w:rPr>
          <w:rFonts w:hint="eastAsia" w:ascii="宋体" w:hAnsi="宋体"/>
          <w:color w:val="auto"/>
          <w:szCs w:val="21"/>
          <w:highlight w:val="none"/>
          <w:u w:val="single"/>
        </w:rPr>
        <w:t>（供应商名称）</w:t>
      </w:r>
      <w:r>
        <w:rPr>
          <w:rFonts w:hint="eastAsia" w:ascii="宋体" w:hAnsi="宋体"/>
          <w:color w:val="auto"/>
          <w:szCs w:val="21"/>
          <w:highlight w:val="none"/>
        </w:rPr>
        <w:t>提交响应文件正本一份,副本</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1</w:t>
      </w:r>
      <w:r>
        <w:rPr>
          <w:rFonts w:hint="eastAsia" w:ascii="宋体" w:hAnsi="宋体"/>
          <w:color w:val="auto"/>
          <w:szCs w:val="21"/>
          <w:highlight w:val="none"/>
          <w:u w:val="single"/>
        </w:rPr>
        <w:t xml:space="preserve"> </w:t>
      </w:r>
      <w:r>
        <w:rPr>
          <w:rFonts w:hint="eastAsia" w:ascii="宋体" w:hAnsi="宋体"/>
          <w:color w:val="auto"/>
          <w:szCs w:val="21"/>
          <w:highlight w:val="none"/>
        </w:rPr>
        <w:t>份，参加采购项目</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lang w:eastAsia="zh-CN"/>
        </w:rPr>
        <w:t>竞争性谈判</w:t>
      </w:r>
      <w:r>
        <w:rPr>
          <w:rFonts w:hint="eastAsia" w:ascii="宋体" w:hAnsi="宋体"/>
          <w:color w:val="auto"/>
          <w:szCs w:val="21"/>
          <w:highlight w:val="none"/>
        </w:rPr>
        <w:t>，并在此声明，所递交的响应文件内容完整、真实。</w:t>
      </w:r>
    </w:p>
    <w:p w14:paraId="1E3DCB78">
      <w:pPr>
        <w:adjustRightInd w:val="0"/>
        <w:snapToGrid w:val="0"/>
        <w:spacing w:before="156" w:beforeLines="50"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一、我方已详细审查</w:t>
      </w:r>
      <w:r>
        <w:rPr>
          <w:rFonts w:hint="eastAsia" w:ascii="宋体" w:hAnsi="宋体" w:cs="Courier New"/>
          <w:color w:val="auto"/>
          <w:szCs w:val="21"/>
          <w:highlight w:val="none"/>
          <w:lang w:eastAsia="zh-CN"/>
        </w:rPr>
        <w:t>竞争性谈判</w:t>
      </w:r>
      <w:r>
        <w:rPr>
          <w:rFonts w:hint="eastAsia" w:ascii="宋体" w:hAnsi="宋体" w:cs="Courier New"/>
          <w:color w:val="auto"/>
          <w:szCs w:val="21"/>
          <w:highlight w:val="none"/>
        </w:rPr>
        <w:t>文件。我们完全理解并同意放弃对这方面有不明及误解的权力。</w:t>
      </w:r>
    </w:p>
    <w:p w14:paraId="27FD4D88">
      <w:pPr>
        <w:adjustRightInd w:val="0"/>
        <w:snapToGrid w:val="0"/>
        <w:spacing w:before="156" w:beforeLines="50" w:line="360" w:lineRule="auto"/>
        <w:ind w:firstLine="420" w:firstLineChars="200"/>
        <w:rPr>
          <w:rFonts w:ascii="宋体" w:hAnsi="宋体" w:cs="Courier New"/>
          <w:bCs/>
          <w:color w:val="auto"/>
          <w:szCs w:val="21"/>
          <w:highlight w:val="none"/>
        </w:rPr>
      </w:pPr>
      <w:r>
        <w:rPr>
          <w:rFonts w:hint="eastAsia" w:ascii="宋体" w:hAnsi="宋体" w:cs="Courier New"/>
          <w:color w:val="auto"/>
          <w:szCs w:val="21"/>
          <w:highlight w:val="none"/>
        </w:rPr>
        <w:t>二、我方愿意向贵方提供任何与本项采购有关的数据、情况和技术资料。若贵方需要，我方愿意提供我方作出的一切承诺的证明材料。</w:t>
      </w:r>
    </w:p>
    <w:p w14:paraId="2C624EAE">
      <w:pPr>
        <w:adjustRightInd w:val="0"/>
        <w:snapToGrid w:val="0"/>
        <w:spacing w:before="156" w:beforeLines="50"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三、我方愿意按</w:t>
      </w:r>
      <w:r>
        <w:rPr>
          <w:rFonts w:hint="eastAsia" w:ascii="宋体" w:hAnsi="宋体" w:cs="Courier New"/>
          <w:color w:val="auto"/>
          <w:szCs w:val="21"/>
          <w:highlight w:val="none"/>
          <w:lang w:eastAsia="zh-CN"/>
        </w:rPr>
        <w:t>竞争性谈判</w:t>
      </w:r>
      <w:r>
        <w:rPr>
          <w:rFonts w:hint="eastAsia" w:ascii="宋体" w:hAnsi="宋体" w:cs="Courier New"/>
          <w:color w:val="auto"/>
          <w:szCs w:val="21"/>
          <w:highlight w:val="none"/>
        </w:rPr>
        <w:t>文件规定和</w:t>
      </w:r>
      <w:r>
        <w:rPr>
          <w:rFonts w:hint="eastAsia" w:ascii="宋体" w:hAnsi="宋体" w:cs="Courier New"/>
          <w:color w:val="auto"/>
          <w:szCs w:val="21"/>
          <w:highlight w:val="none"/>
          <w:lang w:eastAsia="zh-CN"/>
        </w:rPr>
        <w:t>竞争性谈判</w:t>
      </w:r>
      <w:r>
        <w:rPr>
          <w:rFonts w:hint="eastAsia" w:ascii="宋体" w:hAnsi="宋体" w:cs="Courier New"/>
          <w:color w:val="auto"/>
          <w:szCs w:val="21"/>
          <w:highlight w:val="none"/>
        </w:rPr>
        <w:t>小组要求重新提交响应文件和最后报价。</w:t>
      </w:r>
    </w:p>
    <w:p w14:paraId="239318AB">
      <w:pPr>
        <w:adjustRightInd w:val="0"/>
        <w:snapToGrid w:val="0"/>
        <w:spacing w:before="156" w:beforeLines="50"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四、我方同意在</w:t>
      </w:r>
      <w:r>
        <w:rPr>
          <w:rFonts w:hint="eastAsia" w:ascii="宋体" w:hAnsi="宋体" w:cs="Courier New"/>
          <w:color w:val="auto"/>
          <w:szCs w:val="21"/>
          <w:highlight w:val="none"/>
          <w:lang w:eastAsia="zh-CN"/>
        </w:rPr>
        <w:t>竞争性谈判</w:t>
      </w:r>
      <w:r>
        <w:rPr>
          <w:rFonts w:hint="eastAsia" w:ascii="宋体" w:hAnsi="宋体" w:cs="Courier New"/>
          <w:color w:val="auto"/>
          <w:szCs w:val="21"/>
          <w:highlight w:val="none"/>
        </w:rPr>
        <w:t>文件中规定的提交首次响应文件截止时间起</w:t>
      </w:r>
      <w:r>
        <w:rPr>
          <w:rFonts w:hint="eastAsia" w:ascii="宋体" w:hAnsi="宋体"/>
          <w:iCs/>
          <w:color w:val="auto"/>
          <w:highlight w:val="none"/>
          <w:u w:val="single"/>
        </w:rPr>
        <w:t xml:space="preserve">      </w:t>
      </w:r>
      <w:r>
        <w:rPr>
          <w:rFonts w:hint="eastAsia" w:ascii="宋体" w:hAnsi="宋体" w:cs="Courier New"/>
          <w:color w:val="auto"/>
          <w:szCs w:val="21"/>
          <w:highlight w:val="none"/>
        </w:rPr>
        <w:t>日内(响应文件有效期)遵守本响应文件中的承诺且在此期限期满之前均具有法律约束力。</w:t>
      </w:r>
    </w:p>
    <w:p w14:paraId="7BCF663D">
      <w:pPr>
        <w:adjustRightInd w:val="0"/>
        <w:snapToGrid w:val="0"/>
        <w:spacing w:before="156" w:beforeLines="50"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五、我方承诺保证在获得成交资格后，按照</w:t>
      </w:r>
      <w:r>
        <w:rPr>
          <w:rFonts w:hint="eastAsia" w:ascii="宋体" w:hAnsi="宋体" w:cs="Courier New"/>
          <w:color w:val="auto"/>
          <w:szCs w:val="21"/>
          <w:highlight w:val="none"/>
          <w:lang w:eastAsia="zh-CN"/>
        </w:rPr>
        <w:t>竞争性谈判</w:t>
      </w:r>
      <w:r>
        <w:rPr>
          <w:rFonts w:hint="eastAsia" w:ascii="宋体" w:hAnsi="宋体" w:cs="Courier New"/>
          <w:color w:val="auto"/>
          <w:szCs w:val="21"/>
          <w:highlight w:val="none"/>
        </w:rPr>
        <w:t>文件确定的事项签订政府采购合同，履行双方所签订的合同，并承担合同规定的责任和义务。</w:t>
      </w:r>
    </w:p>
    <w:p w14:paraId="0F6AA0A9">
      <w:pPr>
        <w:adjustRightInd w:val="0"/>
        <w:snapToGrid w:val="0"/>
        <w:spacing w:before="156" w:beforeLines="50"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六、我方承诺在参与竞争性</w:t>
      </w:r>
      <w:r>
        <w:rPr>
          <w:rFonts w:hint="eastAsia" w:ascii="宋体" w:hAnsi="宋体" w:cs="Courier New"/>
          <w:color w:val="auto"/>
          <w:szCs w:val="21"/>
          <w:highlight w:val="none"/>
          <w:lang w:eastAsia="zh-CN"/>
        </w:rPr>
        <w:t>竞争性谈判</w:t>
      </w:r>
      <w:r>
        <w:rPr>
          <w:rFonts w:hint="eastAsia" w:ascii="宋体" w:hAnsi="宋体" w:cs="Courier New"/>
          <w:color w:val="auto"/>
          <w:szCs w:val="21"/>
          <w:highlight w:val="none"/>
        </w:rPr>
        <w:t>过程中，若出现《政府采购法》第七十七条、《政府采购法实施条例》第七十二条和《政府采购非招标方式管理办法》第五十四条规定之情形，我方同意接受条款规定作出的处罚。</w:t>
      </w:r>
    </w:p>
    <w:p w14:paraId="19EC1538">
      <w:pPr>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七、我方的联系方式：</w:t>
      </w:r>
    </w:p>
    <w:p w14:paraId="57FDA8E5">
      <w:pPr>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szCs w:val="21"/>
          <w:highlight w:val="none"/>
          <w:u w:val="single"/>
        </w:rPr>
        <w:t xml:space="preserve">       </w:t>
      </w:r>
      <w:r>
        <w:rPr>
          <w:rFonts w:hint="eastAsia" w:ascii="宋体" w:hAnsi="宋体"/>
          <w:color w:val="auto"/>
          <w:szCs w:val="21"/>
          <w:highlight w:val="none"/>
        </w:rPr>
        <w:t>；邮编：</w:t>
      </w:r>
      <w:r>
        <w:rPr>
          <w:rFonts w:hint="eastAsia" w:ascii="宋体" w:hAnsi="宋体"/>
          <w:color w:val="auto"/>
          <w:szCs w:val="21"/>
          <w:highlight w:val="none"/>
          <w:u w:val="single"/>
        </w:rPr>
        <w:t xml:space="preserve">         </w:t>
      </w:r>
      <w:r>
        <w:rPr>
          <w:rFonts w:hint="eastAsia" w:ascii="宋体" w:hAnsi="宋体"/>
          <w:color w:val="auto"/>
          <w:szCs w:val="21"/>
          <w:highlight w:val="none"/>
        </w:rPr>
        <w:t>；电话：</w:t>
      </w:r>
      <w:r>
        <w:rPr>
          <w:rFonts w:hint="eastAsia" w:ascii="宋体" w:hAnsi="宋体"/>
          <w:color w:val="auto"/>
          <w:szCs w:val="21"/>
          <w:highlight w:val="none"/>
          <w:u w:val="single"/>
        </w:rPr>
        <w:t xml:space="preserve">        </w:t>
      </w:r>
      <w:r>
        <w:rPr>
          <w:rFonts w:hint="eastAsia" w:ascii="宋体" w:hAnsi="宋体"/>
          <w:color w:val="auto"/>
          <w:szCs w:val="21"/>
          <w:highlight w:val="none"/>
        </w:rPr>
        <w:t>；电子邮箱：</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FCAFDBE">
      <w:pPr>
        <w:adjustRightInd w:val="0"/>
        <w:snapToGrid w:val="0"/>
        <w:spacing w:before="156" w:beforeLines="50" w:line="360" w:lineRule="auto"/>
        <w:rPr>
          <w:rFonts w:ascii="宋体" w:hAnsi="宋体" w:cs="Courier New"/>
          <w:color w:val="auto"/>
          <w:szCs w:val="21"/>
          <w:highlight w:val="none"/>
        </w:rPr>
      </w:pPr>
    </w:p>
    <w:p w14:paraId="7AB8A3FC">
      <w:pPr>
        <w:adjustRightInd w:val="0"/>
        <w:snapToGrid w:val="0"/>
        <w:spacing w:before="156" w:beforeLines="50" w:line="360" w:lineRule="auto"/>
        <w:rPr>
          <w:rFonts w:ascii="宋体" w:hAnsi="宋体" w:cs="Courier New"/>
          <w:color w:val="auto"/>
          <w:szCs w:val="21"/>
          <w:highlight w:val="none"/>
        </w:rPr>
      </w:pPr>
      <w:r>
        <w:rPr>
          <w:rFonts w:hint="eastAsia" w:ascii="宋体" w:hAnsi="宋体" w:cs="Courier New"/>
          <w:color w:val="auto"/>
          <w:szCs w:val="21"/>
          <w:highlight w:val="none"/>
        </w:rPr>
        <w:t>供应商名称(盖单位公章)：</w:t>
      </w:r>
    </w:p>
    <w:p w14:paraId="7A266D07">
      <w:pPr>
        <w:adjustRightInd w:val="0"/>
        <w:snapToGrid w:val="0"/>
        <w:spacing w:before="156" w:beforeLines="50" w:line="360" w:lineRule="auto"/>
        <w:rPr>
          <w:rFonts w:ascii="宋体" w:hAnsi="宋体"/>
          <w:color w:val="auto"/>
          <w:szCs w:val="21"/>
          <w:highlight w:val="none"/>
          <w:u w:val="single"/>
        </w:rPr>
      </w:pPr>
      <w:r>
        <w:rPr>
          <w:rFonts w:hint="eastAsia" w:ascii="宋体" w:hAnsi="宋体" w:cs="微软雅黑"/>
          <w:color w:val="auto"/>
          <w:spacing w:val="-2"/>
          <w:kern w:val="0"/>
          <w:szCs w:val="21"/>
          <w:highlight w:val="none"/>
        </w:rPr>
        <w:t>法</w:t>
      </w:r>
      <w:r>
        <w:rPr>
          <w:rFonts w:hint="eastAsia" w:ascii="宋体" w:hAnsi="宋体" w:cs="微软雅黑"/>
          <w:color w:val="auto"/>
          <w:kern w:val="0"/>
          <w:szCs w:val="21"/>
          <w:highlight w:val="none"/>
        </w:rPr>
        <w:t>定</w:t>
      </w:r>
      <w:r>
        <w:rPr>
          <w:rFonts w:hint="eastAsia" w:ascii="宋体" w:hAnsi="宋体" w:cs="微软雅黑"/>
          <w:color w:val="auto"/>
          <w:spacing w:val="-2"/>
          <w:kern w:val="0"/>
          <w:szCs w:val="21"/>
          <w:highlight w:val="none"/>
        </w:rPr>
        <w:t>代</w:t>
      </w:r>
      <w:r>
        <w:rPr>
          <w:rFonts w:hint="eastAsia" w:ascii="宋体" w:hAnsi="宋体" w:cs="微软雅黑"/>
          <w:color w:val="auto"/>
          <w:kern w:val="0"/>
          <w:szCs w:val="21"/>
          <w:highlight w:val="none"/>
        </w:rPr>
        <w:t>表</w:t>
      </w:r>
      <w:r>
        <w:rPr>
          <w:rFonts w:hint="eastAsia" w:ascii="宋体" w:hAnsi="宋体" w:cs="微软雅黑"/>
          <w:color w:val="auto"/>
          <w:spacing w:val="-2"/>
          <w:kern w:val="0"/>
          <w:szCs w:val="21"/>
          <w:highlight w:val="none"/>
        </w:rPr>
        <w:t>人</w:t>
      </w:r>
      <w:r>
        <w:rPr>
          <w:rFonts w:hint="eastAsia" w:ascii="宋体" w:hAnsi="宋体" w:cs="微软雅黑"/>
          <w:color w:val="auto"/>
          <w:kern w:val="0"/>
          <w:szCs w:val="21"/>
          <w:highlight w:val="none"/>
        </w:rPr>
        <w:t>（</w:t>
      </w:r>
      <w:r>
        <w:rPr>
          <w:rFonts w:hint="eastAsia" w:ascii="宋体" w:hAnsi="宋体" w:cs="微软雅黑"/>
          <w:color w:val="auto"/>
          <w:spacing w:val="-2"/>
          <w:kern w:val="0"/>
          <w:szCs w:val="21"/>
          <w:highlight w:val="none"/>
        </w:rPr>
        <w:t>单</w:t>
      </w:r>
      <w:r>
        <w:rPr>
          <w:rFonts w:hint="eastAsia" w:ascii="宋体" w:hAnsi="宋体" w:cs="微软雅黑"/>
          <w:color w:val="auto"/>
          <w:kern w:val="0"/>
          <w:szCs w:val="21"/>
          <w:highlight w:val="none"/>
        </w:rPr>
        <w:t>位</w:t>
      </w:r>
      <w:r>
        <w:rPr>
          <w:rFonts w:hint="eastAsia" w:ascii="宋体" w:hAnsi="宋体" w:cs="微软雅黑"/>
          <w:color w:val="auto"/>
          <w:spacing w:val="-2"/>
          <w:kern w:val="0"/>
          <w:szCs w:val="21"/>
          <w:highlight w:val="none"/>
        </w:rPr>
        <w:t>负</w:t>
      </w:r>
      <w:r>
        <w:rPr>
          <w:rFonts w:hint="eastAsia" w:ascii="宋体" w:hAnsi="宋体" w:cs="微软雅黑"/>
          <w:color w:val="auto"/>
          <w:kern w:val="0"/>
          <w:szCs w:val="21"/>
          <w:highlight w:val="none"/>
        </w:rPr>
        <w:t>责人</w:t>
      </w:r>
      <w:r>
        <w:rPr>
          <w:rFonts w:hint="eastAsia" w:ascii="宋体" w:hAnsi="宋体" w:cs="微软雅黑"/>
          <w:color w:val="auto"/>
          <w:spacing w:val="-2"/>
          <w:kern w:val="0"/>
          <w:szCs w:val="21"/>
          <w:highlight w:val="none"/>
        </w:rPr>
        <w:t>）</w:t>
      </w:r>
      <w:r>
        <w:rPr>
          <w:rFonts w:hint="eastAsia" w:ascii="宋体" w:hAnsi="宋体"/>
          <w:color w:val="auto"/>
          <w:szCs w:val="21"/>
          <w:highlight w:val="none"/>
        </w:rPr>
        <w:t>或其授权的代理人（签字或印章）：</w:t>
      </w:r>
    </w:p>
    <w:p w14:paraId="3F4B79BD">
      <w:pPr>
        <w:adjustRightInd w:val="0"/>
        <w:snapToGrid w:val="0"/>
        <w:spacing w:before="156" w:beforeLines="50" w:line="360" w:lineRule="auto"/>
        <w:rPr>
          <w:rFonts w:ascii="宋体" w:hAnsi="宋体"/>
          <w:color w:val="auto"/>
          <w:szCs w:val="21"/>
          <w:highlight w:val="none"/>
        </w:rPr>
      </w:pPr>
      <w:r>
        <w:rPr>
          <w:rFonts w:hint="eastAsia" w:ascii="宋体" w:hAnsi="宋体"/>
          <w:color w:val="auto"/>
          <w:szCs w:val="21"/>
          <w:highlight w:val="none"/>
        </w:rPr>
        <w:t>日期：     年      月      日</w:t>
      </w:r>
    </w:p>
    <w:p w14:paraId="7FACC8EB">
      <w:pPr>
        <w:keepNext/>
        <w:keepLines/>
        <w:spacing w:line="360" w:lineRule="auto"/>
        <w:jc w:val="center"/>
        <w:outlineLvl w:val="1"/>
        <w:rPr>
          <w:rFonts w:ascii="黑体" w:hAnsi="黑体" w:eastAsia="黑体"/>
          <w:b/>
          <w:bCs/>
          <w:color w:val="auto"/>
          <w:sz w:val="28"/>
          <w:szCs w:val="28"/>
          <w:highlight w:val="none"/>
        </w:rPr>
      </w:pPr>
      <w:bookmarkStart w:id="19" w:name="_Toc107998034"/>
      <w:bookmarkStart w:id="20" w:name="_Toc21858"/>
      <w:r>
        <w:rPr>
          <w:rFonts w:hint="eastAsia" w:ascii="黑体" w:hAnsi="黑体" w:eastAsia="黑体"/>
          <w:b/>
          <w:bCs/>
          <w:color w:val="auto"/>
          <w:sz w:val="28"/>
          <w:szCs w:val="28"/>
          <w:highlight w:val="none"/>
        </w:rPr>
        <w:br w:type="page"/>
      </w:r>
      <w:bookmarkEnd w:id="19"/>
      <w:bookmarkEnd w:id="20"/>
      <w:bookmarkStart w:id="21" w:name="_Toc16183"/>
      <w:bookmarkStart w:id="22" w:name="_Toc30742"/>
      <w:bookmarkStart w:id="23" w:name="_Toc107998035"/>
      <w:r>
        <w:rPr>
          <w:rFonts w:hint="eastAsia" w:ascii="黑体" w:hAnsi="黑体" w:eastAsia="黑体"/>
          <w:b/>
          <w:bCs/>
          <w:color w:val="auto"/>
          <w:sz w:val="28"/>
          <w:szCs w:val="28"/>
          <w:highlight w:val="none"/>
          <w:lang w:eastAsia="zh-CN"/>
        </w:rPr>
        <w:t>三</w:t>
      </w:r>
      <w:r>
        <w:rPr>
          <w:rFonts w:hint="eastAsia" w:ascii="黑体" w:hAnsi="黑体" w:eastAsia="黑体"/>
          <w:b/>
          <w:bCs/>
          <w:color w:val="auto"/>
          <w:sz w:val="28"/>
          <w:szCs w:val="28"/>
          <w:highlight w:val="none"/>
        </w:rPr>
        <w:t>、法定代表人身份证明或授权委托书(格式)</w:t>
      </w:r>
      <w:bookmarkEnd w:id="21"/>
      <w:bookmarkEnd w:id="22"/>
      <w:bookmarkEnd w:id="23"/>
    </w:p>
    <w:p w14:paraId="592AADEA">
      <w:pPr>
        <w:rPr>
          <w:color w:val="auto"/>
          <w:highlight w:val="none"/>
        </w:rPr>
      </w:pPr>
    </w:p>
    <w:p w14:paraId="073E238D">
      <w:pPr>
        <w:rPr>
          <w:color w:val="auto"/>
          <w:highlight w:val="none"/>
        </w:rPr>
      </w:pPr>
    </w:p>
    <w:p w14:paraId="239D983D">
      <w:pPr>
        <w:keepNext/>
        <w:keepLines/>
        <w:spacing w:line="360" w:lineRule="auto"/>
        <w:jc w:val="center"/>
        <w:outlineLvl w:val="1"/>
        <w:rPr>
          <w:rFonts w:ascii="黑体" w:hAnsi="黑体" w:eastAsia="黑体"/>
          <w:b/>
          <w:bCs/>
          <w:color w:val="auto"/>
          <w:sz w:val="28"/>
          <w:szCs w:val="28"/>
          <w:highlight w:val="none"/>
        </w:rPr>
      </w:pPr>
      <w:bookmarkStart w:id="24" w:name="_Toc16480"/>
      <w:r>
        <w:rPr>
          <w:rFonts w:hint="eastAsia" w:ascii="黑体" w:hAnsi="黑体" w:eastAsia="黑体"/>
          <w:b/>
          <w:bCs/>
          <w:color w:val="auto"/>
          <w:sz w:val="28"/>
          <w:szCs w:val="28"/>
          <w:highlight w:val="none"/>
        </w:rPr>
        <w:t>法定代表人身份证明</w:t>
      </w:r>
      <w:bookmarkEnd w:id="24"/>
    </w:p>
    <w:p w14:paraId="4DB68FE8">
      <w:pPr>
        <w:snapToGrid w:val="0"/>
        <w:spacing w:line="480" w:lineRule="auto"/>
        <w:ind w:firstLine="480"/>
        <w:rPr>
          <w:rFonts w:ascii="宋体" w:hAnsi="宋体" w:cs="宋体"/>
          <w:color w:val="auto"/>
          <w:highlight w:val="none"/>
        </w:rPr>
      </w:pPr>
    </w:p>
    <w:p w14:paraId="561DBE86">
      <w:pPr>
        <w:autoSpaceDE w:val="0"/>
        <w:autoSpaceDN w:val="0"/>
        <w:adjustRightInd w:val="0"/>
        <w:snapToGrid w:val="0"/>
        <w:spacing w:before="156" w:beforeLines="50"/>
        <w:ind w:firstLine="420"/>
        <w:jc w:val="left"/>
        <w:rPr>
          <w:rFonts w:ascii="宋体" w:hAnsi="宋体" w:cs="宋体"/>
          <w:color w:val="auto"/>
          <w:kern w:val="0"/>
          <w:highlight w:val="none"/>
        </w:rPr>
      </w:pPr>
      <w:r>
        <w:rPr>
          <w:rFonts w:hint="eastAsia" w:ascii="宋体" w:hAnsi="宋体" w:cs="宋体"/>
          <w:color w:val="auto"/>
          <w:highlight w:val="none"/>
        </w:rPr>
        <w:t>供应商</w:t>
      </w:r>
      <w:r>
        <w:rPr>
          <w:rFonts w:hint="eastAsia" w:ascii="宋体" w:hAnsi="宋体" w:cs="宋体"/>
          <w:color w:val="auto"/>
          <w:kern w:val="0"/>
          <w:highlight w:val="none"/>
        </w:rPr>
        <w:t>名称：</w:t>
      </w:r>
    </w:p>
    <w:p w14:paraId="11CB9367">
      <w:pPr>
        <w:autoSpaceDE w:val="0"/>
        <w:autoSpaceDN w:val="0"/>
        <w:adjustRightInd w:val="0"/>
        <w:snapToGrid w:val="0"/>
        <w:spacing w:before="156" w:beforeLines="50"/>
        <w:ind w:firstLine="420"/>
        <w:jc w:val="left"/>
        <w:rPr>
          <w:rFonts w:ascii="宋体" w:hAnsi="宋体" w:cs="宋体"/>
          <w:color w:val="auto"/>
          <w:kern w:val="0"/>
          <w:highlight w:val="none"/>
        </w:rPr>
      </w:pPr>
      <w:r>
        <w:rPr>
          <w:rFonts w:hint="eastAsia" w:ascii="宋体" w:hAnsi="宋体" w:cs="宋体"/>
          <w:color w:val="auto"/>
          <w:kern w:val="0"/>
          <w:highlight w:val="none"/>
        </w:rPr>
        <w:t>注册号：</w:t>
      </w:r>
    </w:p>
    <w:p w14:paraId="74E7C230">
      <w:pPr>
        <w:autoSpaceDE w:val="0"/>
        <w:autoSpaceDN w:val="0"/>
        <w:adjustRightInd w:val="0"/>
        <w:snapToGrid w:val="0"/>
        <w:spacing w:before="156" w:beforeLines="50"/>
        <w:ind w:firstLine="420"/>
        <w:jc w:val="left"/>
        <w:rPr>
          <w:rFonts w:ascii="宋体" w:hAnsi="宋体" w:cs="宋体"/>
          <w:color w:val="auto"/>
          <w:kern w:val="0"/>
          <w:highlight w:val="none"/>
        </w:rPr>
      </w:pPr>
      <w:r>
        <w:rPr>
          <w:rFonts w:hint="eastAsia" w:ascii="宋体" w:hAnsi="宋体" w:cs="宋体"/>
          <w:color w:val="auto"/>
          <w:kern w:val="0"/>
          <w:highlight w:val="none"/>
        </w:rPr>
        <w:t>注册地址：</w:t>
      </w:r>
    </w:p>
    <w:p w14:paraId="1E11BCB2">
      <w:pPr>
        <w:autoSpaceDE w:val="0"/>
        <w:autoSpaceDN w:val="0"/>
        <w:adjustRightInd w:val="0"/>
        <w:snapToGrid w:val="0"/>
        <w:spacing w:before="156" w:beforeLines="50"/>
        <w:ind w:firstLine="420"/>
        <w:jc w:val="left"/>
        <w:rPr>
          <w:rFonts w:ascii="宋体" w:hAnsi="宋体" w:cs="宋体"/>
          <w:color w:val="auto"/>
          <w:kern w:val="0"/>
          <w:highlight w:val="none"/>
        </w:rPr>
      </w:pPr>
      <w:r>
        <w:rPr>
          <w:rFonts w:hint="eastAsia" w:ascii="宋体" w:hAnsi="宋体" w:cs="宋体"/>
          <w:color w:val="auto"/>
          <w:kern w:val="0"/>
          <w:highlight w:val="none"/>
        </w:rPr>
        <w:t>成立时间：</w:t>
      </w:r>
      <w:r>
        <w:rPr>
          <w:rFonts w:hint="eastAsia" w:ascii="宋体" w:hAnsi="宋体" w:cs="宋体"/>
          <w:color w:val="auto"/>
          <w:highlight w:val="none"/>
        </w:rPr>
        <w:t xml:space="preserve">   年   月   日</w:t>
      </w:r>
    </w:p>
    <w:p w14:paraId="489B3D73">
      <w:pPr>
        <w:autoSpaceDE w:val="0"/>
        <w:autoSpaceDN w:val="0"/>
        <w:adjustRightInd w:val="0"/>
        <w:snapToGrid w:val="0"/>
        <w:spacing w:before="156" w:beforeLines="50"/>
        <w:ind w:firstLine="420"/>
        <w:jc w:val="left"/>
        <w:rPr>
          <w:rFonts w:ascii="宋体" w:hAnsi="宋体" w:cs="宋体"/>
          <w:color w:val="auto"/>
          <w:kern w:val="0"/>
          <w:highlight w:val="none"/>
          <w:u w:val="single"/>
        </w:rPr>
      </w:pPr>
      <w:r>
        <w:rPr>
          <w:rFonts w:hint="eastAsia" w:ascii="宋体" w:hAnsi="宋体" w:cs="宋体"/>
          <w:color w:val="auto"/>
          <w:kern w:val="0"/>
          <w:highlight w:val="none"/>
        </w:rPr>
        <w:t>经营期限：</w:t>
      </w:r>
    </w:p>
    <w:p w14:paraId="3EDFE4C9">
      <w:pPr>
        <w:autoSpaceDE w:val="0"/>
        <w:autoSpaceDN w:val="0"/>
        <w:adjustRightInd w:val="0"/>
        <w:snapToGrid w:val="0"/>
        <w:spacing w:before="156" w:beforeLines="50"/>
        <w:ind w:firstLine="420"/>
        <w:jc w:val="left"/>
        <w:rPr>
          <w:rFonts w:ascii="宋体" w:hAnsi="宋体" w:cs="宋体"/>
          <w:color w:val="auto"/>
          <w:kern w:val="0"/>
          <w:highlight w:val="none"/>
          <w:u w:val="single"/>
        </w:rPr>
      </w:pPr>
      <w:r>
        <w:rPr>
          <w:rFonts w:hint="eastAsia" w:ascii="宋体" w:hAnsi="宋体" w:cs="宋体"/>
          <w:color w:val="auto"/>
          <w:kern w:val="0"/>
          <w:highlight w:val="none"/>
        </w:rPr>
        <w:t>经营范围：主营：</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；兼营：</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p>
    <w:p w14:paraId="1841B249">
      <w:pPr>
        <w:autoSpaceDE w:val="0"/>
        <w:autoSpaceDN w:val="0"/>
        <w:adjustRightInd w:val="0"/>
        <w:snapToGrid w:val="0"/>
        <w:spacing w:before="156" w:beforeLines="50"/>
        <w:ind w:firstLine="420"/>
        <w:jc w:val="left"/>
        <w:rPr>
          <w:rFonts w:ascii="宋体" w:hAnsi="宋体" w:cs="宋体"/>
          <w:color w:val="auto"/>
          <w:kern w:val="0"/>
          <w:highlight w:val="none"/>
        </w:rPr>
      </w:pPr>
      <w:r>
        <w:rPr>
          <w:rFonts w:hint="eastAsia" w:ascii="宋体" w:hAnsi="宋体" w:cs="宋体"/>
          <w:color w:val="auto"/>
          <w:kern w:val="0"/>
          <w:highlight w:val="none"/>
        </w:rPr>
        <w:t>姓名：</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性别：</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年龄：</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系</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r>
        <w:rPr>
          <w:rFonts w:hint="eastAsia" w:ascii="宋体" w:hAnsi="宋体" w:cs="宋体"/>
          <w:color w:val="auto"/>
          <w:highlight w:val="none"/>
        </w:rPr>
        <w:t>供应商</w:t>
      </w:r>
      <w:r>
        <w:rPr>
          <w:rFonts w:hint="eastAsia" w:ascii="宋体" w:hAnsi="宋体" w:cs="宋体"/>
          <w:color w:val="auto"/>
          <w:kern w:val="0"/>
          <w:highlight w:val="none"/>
        </w:rPr>
        <w:t>名称）的法定代表人。</w:t>
      </w:r>
    </w:p>
    <w:p w14:paraId="273D5373">
      <w:pPr>
        <w:autoSpaceDE w:val="0"/>
        <w:autoSpaceDN w:val="0"/>
        <w:adjustRightInd w:val="0"/>
        <w:snapToGrid w:val="0"/>
        <w:spacing w:before="156" w:beforeLines="50"/>
        <w:ind w:firstLine="420"/>
        <w:jc w:val="left"/>
        <w:rPr>
          <w:rFonts w:ascii="宋体" w:hAnsi="宋体" w:cs="宋体"/>
          <w:color w:val="auto"/>
          <w:kern w:val="0"/>
          <w:highlight w:val="none"/>
        </w:rPr>
      </w:pPr>
      <w:r>
        <w:rPr>
          <w:rFonts w:hint="eastAsia" w:ascii="宋体" w:hAnsi="宋体" w:cs="宋体"/>
          <w:color w:val="auto"/>
          <w:kern w:val="0"/>
          <w:highlight w:val="none"/>
        </w:rPr>
        <w:t>特此证明。</w:t>
      </w:r>
    </w:p>
    <w:p w14:paraId="475C0EFF">
      <w:pPr>
        <w:autoSpaceDE w:val="0"/>
        <w:autoSpaceDN w:val="0"/>
        <w:adjustRightInd w:val="0"/>
        <w:snapToGrid w:val="0"/>
        <w:spacing w:before="156" w:beforeLines="50"/>
        <w:ind w:firstLine="420"/>
        <w:jc w:val="left"/>
        <w:rPr>
          <w:rFonts w:ascii="宋体" w:hAnsi="宋体" w:cs="宋体"/>
          <w:color w:val="auto"/>
          <w:kern w:val="0"/>
          <w:highlight w:val="none"/>
        </w:rPr>
      </w:pPr>
      <w:r>
        <w:rPr>
          <w:rFonts w:hint="eastAsia" w:ascii="宋体" w:hAnsi="宋体" w:cs="宋体"/>
          <w:color w:val="auto"/>
          <w:highlight w:val="none"/>
        </w:rPr>
        <w:t>附：法定代表人身份证复印件</w:t>
      </w:r>
    </w:p>
    <w:tbl>
      <w:tblPr>
        <w:tblStyle w:val="20"/>
        <w:tblW w:w="7839"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9"/>
        <w:gridCol w:w="3920"/>
      </w:tblGrid>
      <w:tr w14:paraId="4EDCF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3" w:hRule="atLeast"/>
        </w:trPr>
        <w:tc>
          <w:tcPr>
            <w:tcW w:w="3919" w:type="dxa"/>
            <w:vAlign w:val="center"/>
          </w:tcPr>
          <w:p w14:paraId="1685DC8A">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法定代表人身份证（正面）</w:t>
            </w:r>
            <w:r>
              <w:rPr>
                <w:rFonts w:hint="eastAsia" w:ascii="宋体" w:hAnsi="宋体" w:cs="微软雅黑"/>
                <w:color w:val="auto"/>
                <w:spacing w:val="-2"/>
                <w:kern w:val="0"/>
                <w:szCs w:val="21"/>
                <w:highlight w:val="none"/>
              </w:rPr>
              <w:t>复</w:t>
            </w:r>
            <w:r>
              <w:rPr>
                <w:rFonts w:hint="eastAsia" w:ascii="宋体" w:hAnsi="宋体" w:cs="微软雅黑"/>
                <w:color w:val="auto"/>
                <w:kern w:val="0"/>
                <w:szCs w:val="21"/>
                <w:highlight w:val="none"/>
              </w:rPr>
              <w:t>印</w:t>
            </w:r>
            <w:r>
              <w:rPr>
                <w:rFonts w:hint="eastAsia" w:ascii="宋体" w:hAnsi="宋体" w:cs="微软雅黑"/>
                <w:color w:val="auto"/>
                <w:spacing w:val="-2"/>
                <w:kern w:val="0"/>
                <w:szCs w:val="21"/>
                <w:highlight w:val="none"/>
              </w:rPr>
              <w:t>件</w:t>
            </w:r>
          </w:p>
        </w:tc>
        <w:tc>
          <w:tcPr>
            <w:tcW w:w="3920" w:type="dxa"/>
            <w:vAlign w:val="center"/>
          </w:tcPr>
          <w:p w14:paraId="05D52952">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法定代表人身份证（反面）</w:t>
            </w:r>
            <w:r>
              <w:rPr>
                <w:rFonts w:hint="eastAsia" w:ascii="宋体" w:hAnsi="宋体" w:cs="微软雅黑"/>
                <w:color w:val="auto"/>
                <w:spacing w:val="-2"/>
                <w:kern w:val="0"/>
                <w:szCs w:val="21"/>
                <w:highlight w:val="none"/>
              </w:rPr>
              <w:t>复</w:t>
            </w:r>
            <w:r>
              <w:rPr>
                <w:rFonts w:hint="eastAsia" w:ascii="宋体" w:hAnsi="宋体" w:cs="微软雅黑"/>
                <w:color w:val="auto"/>
                <w:kern w:val="0"/>
                <w:szCs w:val="21"/>
                <w:highlight w:val="none"/>
              </w:rPr>
              <w:t>印</w:t>
            </w:r>
            <w:r>
              <w:rPr>
                <w:rFonts w:hint="eastAsia" w:ascii="宋体" w:hAnsi="宋体" w:cs="微软雅黑"/>
                <w:color w:val="auto"/>
                <w:spacing w:val="-2"/>
                <w:kern w:val="0"/>
                <w:szCs w:val="21"/>
                <w:highlight w:val="none"/>
              </w:rPr>
              <w:t>件</w:t>
            </w:r>
          </w:p>
        </w:tc>
      </w:tr>
    </w:tbl>
    <w:p w14:paraId="07D67603">
      <w:pPr>
        <w:snapToGrid w:val="0"/>
        <w:ind w:firstLine="420"/>
        <w:rPr>
          <w:rFonts w:ascii="宋体" w:hAnsi="宋体" w:cs="宋体"/>
          <w:color w:val="auto"/>
          <w:highlight w:val="none"/>
        </w:rPr>
      </w:pPr>
    </w:p>
    <w:p w14:paraId="2D543F2F">
      <w:pPr>
        <w:adjustRightInd w:val="0"/>
        <w:snapToGrid w:val="0"/>
        <w:ind w:firstLine="420"/>
        <w:rPr>
          <w:rFonts w:ascii="宋体" w:hAnsi="宋体" w:cs="宋体"/>
          <w:color w:val="auto"/>
          <w:highlight w:val="none"/>
        </w:rPr>
      </w:pPr>
    </w:p>
    <w:p w14:paraId="6CC94767">
      <w:pPr>
        <w:adjustRightInd w:val="0"/>
        <w:snapToGrid w:val="0"/>
        <w:ind w:right="420" w:firstLine="420"/>
        <w:rPr>
          <w:rFonts w:ascii="宋体" w:hAnsi="宋体" w:cs="宋体"/>
          <w:color w:val="auto"/>
          <w:highlight w:val="none"/>
        </w:rPr>
      </w:pPr>
      <w:r>
        <w:rPr>
          <w:rFonts w:hint="eastAsia" w:ascii="宋体" w:hAnsi="宋体" w:cs="宋体"/>
          <w:color w:val="auto"/>
          <w:highlight w:val="none"/>
        </w:rPr>
        <w:t>供应商名称（盖单位章）：</w:t>
      </w:r>
    </w:p>
    <w:p w14:paraId="03F01D95">
      <w:pPr>
        <w:pStyle w:val="11"/>
        <w:rPr>
          <w:color w:val="auto"/>
          <w:highlight w:val="none"/>
        </w:rPr>
      </w:pPr>
    </w:p>
    <w:p w14:paraId="3C1A457E">
      <w:pPr>
        <w:adjustRightInd w:val="0"/>
        <w:snapToGrid w:val="0"/>
        <w:ind w:right="420" w:firstLine="420"/>
        <w:rPr>
          <w:rFonts w:ascii="宋体" w:hAnsi="宋体" w:cs="宋体"/>
          <w:color w:val="auto"/>
          <w:highlight w:val="none"/>
        </w:rPr>
      </w:pPr>
      <w:r>
        <w:rPr>
          <w:rFonts w:hint="eastAsia" w:ascii="宋体" w:hAnsi="宋体" w:cs="宋体"/>
          <w:color w:val="auto"/>
          <w:highlight w:val="none"/>
        </w:rPr>
        <w:t>日期：   年   月   日</w:t>
      </w:r>
    </w:p>
    <w:p w14:paraId="25D22646">
      <w:pPr>
        <w:autoSpaceDE w:val="0"/>
        <w:autoSpaceDN w:val="0"/>
        <w:adjustRightInd w:val="0"/>
        <w:snapToGrid w:val="0"/>
        <w:spacing w:before="156" w:beforeLines="50" w:line="360" w:lineRule="auto"/>
        <w:ind w:firstLine="560" w:firstLineChars="200"/>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br w:type="page"/>
      </w:r>
    </w:p>
    <w:p w14:paraId="76E4DB3E">
      <w:pPr>
        <w:autoSpaceDE w:val="0"/>
        <w:autoSpaceDN w:val="0"/>
        <w:adjustRightInd w:val="0"/>
        <w:snapToGrid w:val="0"/>
        <w:spacing w:before="156" w:beforeLines="50" w:line="360" w:lineRule="auto"/>
        <w:ind w:firstLine="560" w:firstLineChars="200"/>
        <w:jc w:val="center"/>
        <w:rPr>
          <w:rFonts w:ascii="宋体" w:hAnsi="宋体" w:cs="宋体"/>
          <w:color w:val="auto"/>
          <w:kern w:val="0"/>
          <w:szCs w:val="21"/>
          <w:highlight w:val="none"/>
        </w:rPr>
      </w:pPr>
      <w:r>
        <w:rPr>
          <w:rFonts w:hint="eastAsia" w:ascii="黑体" w:hAnsi="黑体" w:eastAsia="黑体"/>
          <w:b/>
          <w:bCs/>
          <w:color w:val="auto"/>
          <w:sz w:val="28"/>
          <w:szCs w:val="28"/>
          <w:highlight w:val="none"/>
        </w:rPr>
        <w:t>授权委托书</w:t>
      </w:r>
    </w:p>
    <w:p w14:paraId="332F665B">
      <w:pPr>
        <w:autoSpaceDE w:val="0"/>
        <w:autoSpaceDN w:val="0"/>
        <w:adjustRightInd w:val="0"/>
        <w:snapToGrid w:val="0"/>
        <w:spacing w:before="156" w:beforeLines="5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iCs/>
          <w:color w:val="auto"/>
          <w:highlight w:val="none"/>
          <w:u w:val="single"/>
        </w:rPr>
        <w:t xml:space="preserve">           </w:t>
      </w:r>
      <w:r>
        <w:rPr>
          <w:rFonts w:hint="eastAsia" w:ascii="宋体" w:hAnsi="宋体"/>
          <w:iCs/>
          <w:color w:val="auto"/>
          <w:highlight w:val="none"/>
        </w:rPr>
        <w:t xml:space="preserve"> </w:t>
      </w:r>
      <w:r>
        <w:rPr>
          <w:rFonts w:hint="eastAsia" w:ascii="宋体" w:hAnsi="宋体" w:cs="宋体"/>
          <w:color w:val="auto"/>
          <w:kern w:val="0"/>
          <w:szCs w:val="21"/>
          <w:highlight w:val="none"/>
          <w:u w:val="single"/>
        </w:rPr>
        <w:t>（姓名、职务）</w:t>
      </w:r>
      <w:r>
        <w:rPr>
          <w:rFonts w:hint="eastAsia" w:ascii="宋体" w:hAnsi="宋体" w:cs="宋体"/>
          <w:color w:val="auto"/>
          <w:kern w:val="0"/>
          <w:szCs w:val="21"/>
          <w:highlight w:val="none"/>
        </w:rPr>
        <w:t xml:space="preserve">系 </w:t>
      </w:r>
      <w:r>
        <w:rPr>
          <w:rFonts w:hint="eastAsia" w:ascii="宋体" w:hAnsi="宋体"/>
          <w:iCs/>
          <w:color w:val="auto"/>
          <w:highlight w:val="none"/>
          <w:u w:val="single"/>
        </w:rPr>
        <w:t xml:space="preserve">           </w:t>
      </w:r>
      <w:r>
        <w:rPr>
          <w:rFonts w:hint="eastAsia" w:ascii="宋体" w:hAnsi="宋体"/>
          <w:iCs/>
          <w:color w:val="auto"/>
          <w:highlight w:val="none"/>
        </w:rPr>
        <w:t xml:space="preserve"> </w:t>
      </w:r>
      <w:r>
        <w:rPr>
          <w:rFonts w:hint="eastAsia" w:ascii="宋体" w:hAnsi="宋体" w:cs="宋体"/>
          <w:color w:val="auto"/>
          <w:kern w:val="0"/>
          <w:szCs w:val="21"/>
          <w:highlight w:val="none"/>
          <w:u w:val="single"/>
        </w:rPr>
        <w:t>（</w:t>
      </w:r>
      <w:r>
        <w:rPr>
          <w:rFonts w:hint="eastAsia" w:ascii="宋体" w:hAnsi="宋体"/>
          <w:color w:val="auto"/>
          <w:szCs w:val="21"/>
          <w:highlight w:val="none"/>
          <w:u w:val="single"/>
        </w:rPr>
        <w:t>供应商</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的法定代表人</w:t>
      </w:r>
      <w:r>
        <w:rPr>
          <w:rFonts w:hint="eastAsia" w:ascii="宋体" w:hAnsi="宋体" w:cs="微软雅黑"/>
          <w:color w:val="auto"/>
          <w:kern w:val="0"/>
          <w:szCs w:val="21"/>
          <w:highlight w:val="none"/>
        </w:rPr>
        <w:t>（</w:t>
      </w:r>
      <w:r>
        <w:rPr>
          <w:rFonts w:hint="eastAsia" w:ascii="宋体" w:hAnsi="宋体" w:cs="微软雅黑"/>
          <w:color w:val="auto"/>
          <w:spacing w:val="-2"/>
          <w:kern w:val="0"/>
          <w:szCs w:val="21"/>
          <w:highlight w:val="none"/>
        </w:rPr>
        <w:t>单</w:t>
      </w:r>
      <w:r>
        <w:rPr>
          <w:rFonts w:hint="eastAsia" w:ascii="宋体" w:hAnsi="宋体" w:cs="微软雅黑"/>
          <w:color w:val="auto"/>
          <w:kern w:val="0"/>
          <w:szCs w:val="21"/>
          <w:highlight w:val="none"/>
        </w:rPr>
        <w:t>位</w:t>
      </w:r>
      <w:r>
        <w:rPr>
          <w:rFonts w:hint="eastAsia" w:ascii="宋体" w:hAnsi="宋体" w:cs="微软雅黑"/>
          <w:color w:val="auto"/>
          <w:spacing w:val="-2"/>
          <w:kern w:val="0"/>
          <w:szCs w:val="21"/>
          <w:highlight w:val="none"/>
        </w:rPr>
        <w:t>负</w:t>
      </w:r>
      <w:r>
        <w:rPr>
          <w:rFonts w:hint="eastAsia" w:ascii="宋体" w:hAnsi="宋体" w:cs="微软雅黑"/>
          <w:color w:val="auto"/>
          <w:kern w:val="0"/>
          <w:szCs w:val="21"/>
          <w:highlight w:val="none"/>
        </w:rPr>
        <w:t>责人</w:t>
      </w:r>
      <w:r>
        <w:rPr>
          <w:rFonts w:hint="eastAsia" w:ascii="宋体" w:hAnsi="宋体" w:cs="微软雅黑"/>
          <w:color w:val="auto"/>
          <w:spacing w:val="-2"/>
          <w:kern w:val="0"/>
          <w:szCs w:val="21"/>
          <w:highlight w:val="none"/>
        </w:rPr>
        <w:t>）</w:t>
      </w:r>
      <w:r>
        <w:rPr>
          <w:rFonts w:hint="eastAsia" w:ascii="宋体" w:hAnsi="宋体" w:cs="宋体"/>
          <w:color w:val="auto"/>
          <w:kern w:val="0"/>
          <w:szCs w:val="21"/>
          <w:highlight w:val="none"/>
        </w:rPr>
        <w:t>，现授权</w:t>
      </w:r>
      <w:r>
        <w:rPr>
          <w:rFonts w:hint="eastAsia" w:ascii="宋体" w:hAnsi="宋体"/>
          <w:iCs/>
          <w:color w:val="auto"/>
          <w:highlight w:val="none"/>
          <w:u w:val="single"/>
        </w:rPr>
        <w:t xml:space="preserve">           </w:t>
      </w:r>
      <w:r>
        <w:rPr>
          <w:rFonts w:hint="eastAsia" w:ascii="宋体" w:hAnsi="宋体"/>
          <w:iCs/>
          <w:color w:val="auto"/>
          <w:highlight w:val="none"/>
        </w:rPr>
        <w:t xml:space="preserve"> </w:t>
      </w:r>
      <w:r>
        <w:rPr>
          <w:rFonts w:hint="eastAsia" w:ascii="宋体" w:hAnsi="宋体" w:cs="宋体"/>
          <w:color w:val="auto"/>
          <w:kern w:val="0"/>
          <w:szCs w:val="21"/>
          <w:highlight w:val="none"/>
          <w:u w:val="single"/>
        </w:rPr>
        <w:t>（姓名、职务）</w:t>
      </w:r>
      <w:r>
        <w:rPr>
          <w:rFonts w:hint="eastAsia" w:ascii="宋体" w:hAnsi="宋体" w:cs="宋体"/>
          <w:color w:val="auto"/>
          <w:kern w:val="0"/>
          <w:szCs w:val="21"/>
          <w:highlight w:val="none"/>
        </w:rPr>
        <w:t>为我方代理人。代理人根据授权，以我方名义：(1)签署、澄清、补正、修改、撤回、提交</w:t>
      </w:r>
      <w:r>
        <w:rPr>
          <w:rFonts w:hint="eastAsia" w:ascii="宋体" w:hAnsi="宋体"/>
          <w:iCs/>
          <w:color w:val="auto"/>
          <w:highlight w:val="none"/>
          <w:u w:val="single"/>
        </w:rPr>
        <w:t xml:space="preserve">           </w:t>
      </w:r>
      <w:r>
        <w:rPr>
          <w:rFonts w:hint="eastAsia" w:ascii="宋体" w:hAnsi="宋体"/>
          <w:iCs/>
          <w:color w:val="auto"/>
          <w:highlight w:val="none"/>
        </w:rPr>
        <w:t xml:space="preserve"> </w:t>
      </w:r>
      <w:r>
        <w:rPr>
          <w:rFonts w:hint="eastAsia" w:ascii="宋体" w:hAnsi="宋体" w:cs="宋体"/>
          <w:color w:val="auto"/>
          <w:kern w:val="0"/>
          <w:szCs w:val="21"/>
          <w:highlight w:val="none"/>
          <w:u w:val="single"/>
        </w:rPr>
        <w:t>（项目名称、采购代理编号）</w:t>
      </w:r>
      <w:r>
        <w:rPr>
          <w:rFonts w:hint="eastAsia" w:ascii="宋体" w:hAnsi="宋体" w:cs="宋体"/>
          <w:color w:val="auto"/>
          <w:kern w:val="0"/>
          <w:szCs w:val="21"/>
          <w:highlight w:val="none"/>
        </w:rPr>
        <w:t>响应文件；(2)签署并重新提交响应文件及最后报价；(3)退出</w:t>
      </w:r>
      <w:r>
        <w:rPr>
          <w:rFonts w:hint="eastAsia" w:ascii="宋体" w:hAnsi="宋体" w:cs="宋体"/>
          <w:color w:val="auto"/>
          <w:kern w:val="0"/>
          <w:szCs w:val="21"/>
          <w:highlight w:val="none"/>
          <w:lang w:eastAsia="zh-CN"/>
        </w:rPr>
        <w:t>竞争性谈判</w:t>
      </w:r>
      <w:r>
        <w:rPr>
          <w:rFonts w:hint="eastAsia" w:ascii="宋体" w:hAnsi="宋体" w:cs="宋体"/>
          <w:color w:val="auto"/>
          <w:kern w:val="0"/>
          <w:szCs w:val="21"/>
          <w:highlight w:val="none"/>
        </w:rPr>
        <w:t>（如可能）；(4)签订合同和处理有关事宜，其法律后果由我方承担。</w:t>
      </w:r>
    </w:p>
    <w:p w14:paraId="59546642">
      <w:pPr>
        <w:autoSpaceDE w:val="0"/>
        <w:autoSpaceDN w:val="0"/>
        <w:adjustRightInd w:val="0"/>
        <w:snapToGrid w:val="0"/>
        <w:spacing w:before="156" w:beforeLines="5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委托期限：</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p w14:paraId="4A227043">
      <w:pPr>
        <w:adjustRightInd w:val="0"/>
        <w:snapToGrid w:val="0"/>
        <w:spacing w:before="156" w:beforeLines="50" w:line="360" w:lineRule="auto"/>
        <w:ind w:firstLine="435"/>
        <w:rPr>
          <w:rFonts w:ascii="宋体" w:hAnsi="宋体" w:cs="宋体"/>
          <w:color w:val="auto"/>
          <w:kern w:val="0"/>
          <w:szCs w:val="21"/>
          <w:highlight w:val="none"/>
        </w:rPr>
      </w:pPr>
      <w:r>
        <w:rPr>
          <w:rFonts w:hint="eastAsia" w:ascii="宋体" w:hAnsi="宋体" w:cs="宋体"/>
          <w:color w:val="auto"/>
          <w:kern w:val="0"/>
          <w:szCs w:val="21"/>
          <w:highlight w:val="none"/>
        </w:rPr>
        <w:t>代理人无转委托权。</w:t>
      </w:r>
    </w:p>
    <w:p w14:paraId="1E018B9A">
      <w:pPr>
        <w:adjustRightInd w:val="0"/>
        <w:snapToGrid w:val="0"/>
        <w:spacing w:before="156" w:beforeLines="50" w:line="360" w:lineRule="auto"/>
        <w:ind w:firstLine="435"/>
        <w:rPr>
          <w:rFonts w:ascii="宋体" w:hAnsi="宋体" w:cs="微软雅黑"/>
          <w:color w:val="auto"/>
          <w:kern w:val="0"/>
          <w:szCs w:val="21"/>
          <w:highlight w:val="none"/>
        </w:rPr>
      </w:pPr>
      <w:r>
        <w:rPr>
          <w:rFonts w:hint="eastAsia" w:ascii="宋体" w:hAnsi="宋体"/>
          <w:color w:val="auto"/>
          <w:szCs w:val="21"/>
          <w:highlight w:val="none"/>
        </w:rPr>
        <w:t>本授权书于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日签字生效，特此声明。</w:t>
      </w:r>
    </w:p>
    <w:tbl>
      <w:tblPr>
        <w:tblStyle w:val="20"/>
        <w:tblW w:w="7839"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9"/>
        <w:gridCol w:w="3920"/>
      </w:tblGrid>
      <w:tr w14:paraId="531F4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trPr>
        <w:tc>
          <w:tcPr>
            <w:tcW w:w="3919" w:type="dxa"/>
            <w:vAlign w:val="center"/>
          </w:tcPr>
          <w:p w14:paraId="203824CD">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委托代理人身份证（正面）</w:t>
            </w:r>
            <w:r>
              <w:rPr>
                <w:rFonts w:hint="eastAsia" w:ascii="宋体" w:hAnsi="宋体" w:cs="微软雅黑"/>
                <w:color w:val="auto"/>
                <w:spacing w:val="-2"/>
                <w:kern w:val="0"/>
                <w:szCs w:val="21"/>
                <w:highlight w:val="none"/>
              </w:rPr>
              <w:t>复</w:t>
            </w:r>
            <w:r>
              <w:rPr>
                <w:rFonts w:hint="eastAsia" w:ascii="宋体" w:hAnsi="宋体" w:cs="微软雅黑"/>
                <w:color w:val="auto"/>
                <w:kern w:val="0"/>
                <w:szCs w:val="21"/>
                <w:highlight w:val="none"/>
              </w:rPr>
              <w:t>印</w:t>
            </w:r>
            <w:r>
              <w:rPr>
                <w:rFonts w:hint="eastAsia" w:ascii="宋体" w:hAnsi="宋体" w:cs="微软雅黑"/>
                <w:color w:val="auto"/>
                <w:spacing w:val="-2"/>
                <w:kern w:val="0"/>
                <w:szCs w:val="21"/>
                <w:highlight w:val="none"/>
              </w:rPr>
              <w:t>件</w:t>
            </w:r>
          </w:p>
        </w:tc>
        <w:tc>
          <w:tcPr>
            <w:tcW w:w="3920" w:type="dxa"/>
            <w:vAlign w:val="center"/>
          </w:tcPr>
          <w:p w14:paraId="3D7A2F17">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委托代理人身份证（反面）</w:t>
            </w:r>
            <w:r>
              <w:rPr>
                <w:rFonts w:hint="eastAsia" w:ascii="宋体" w:hAnsi="宋体" w:cs="微软雅黑"/>
                <w:color w:val="auto"/>
                <w:spacing w:val="-2"/>
                <w:kern w:val="0"/>
                <w:szCs w:val="21"/>
                <w:highlight w:val="none"/>
              </w:rPr>
              <w:t>复</w:t>
            </w:r>
            <w:r>
              <w:rPr>
                <w:rFonts w:hint="eastAsia" w:ascii="宋体" w:hAnsi="宋体" w:cs="微软雅黑"/>
                <w:color w:val="auto"/>
                <w:kern w:val="0"/>
                <w:szCs w:val="21"/>
                <w:highlight w:val="none"/>
              </w:rPr>
              <w:t>印</w:t>
            </w:r>
            <w:r>
              <w:rPr>
                <w:rFonts w:hint="eastAsia" w:ascii="宋体" w:hAnsi="宋体" w:cs="微软雅黑"/>
                <w:color w:val="auto"/>
                <w:spacing w:val="-2"/>
                <w:kern w:val="0"/>
                <w:szCs w:val="21"/>
                <w:highlight w:val="none"/>
              </w:rPr>
              <w:t>件</w:t>
            </w:r>
          </w:p>
        </w:tc>
      </w:tr>
      <w:tr w14:paraId="26505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3" w:hRule="atLeast"/>
        </w:trPr>
        <w:tc>
          <w:tcPr>
            <w:tcW w:w="3919" w:type="dxa"/>
            <w:vAlign w:val="center"/>
          </w:tcPr>
          <w:p w14:paraId="20B1C19A">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法定代表人身份证（正面）</w:t>
            </w:r>
            <w:r>
              <w:rPr>
                <w:rFonts w:hint="eastAsia" w:ascii="宋体" w:hAnsi="宋体" w:cs="微软雅黑"/>
                <w:color w:val="auto"/>
                <w:spacing w:val="-2"/>
                <w:kern w:val="0"/>
                <w:szCs w:val="21"/>
                <w:highlight w:val="none"/>
              </w:rPr>
              <w:t>复</w:t>
            </w:r>
            <w:r>
              <w:rPr>
                <w:rFonts w:hint="eastAsia" w:ascii="宋体" w:hAnsi="宋体" w:cs="微软雅黑"/>
                <w:color w:val="auto"/>
                <w:kern w:val="0"/>
                <w:szCs w:val="21"/>
                <w:highlight w:val="none"/>
              </w:rPr>
              <w:t>印</w:t>
            </w:r>
            <w:r>
              <w:rPr>
                <w:rFonts w:hint="eastAsia" w:ascii="宋体" w:hAnsi="宋体" w:cs="微软雅黑"/>
                <w:color w:val="auto"/>
                <w:spacing w:val="-2"/>
                <w:kern w:val="0"/>
                <w:szCs w:val="21"/>
                <w:highlight w:val="none"/>
              </w:rPr>
              <w:t>件</w:t>
            </w:r>
          </w:p>
        </w:tc>
        <w:tc>
          <w:tcPr>
            <w:tcW w:w="3920" w:type="dxa"/>
            <w:vAlign w:val="center"/>
          </w:tcPr>
          <w:p w14:paraId="7357F9E3">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法定代表人身份证（反面）</w:t>
            </w:r>
            <w:r>
              <w:rPr>
                <w:rFonts w:hint="eastAsia" w:ascii="宋体" w:hAnsi="宋体" w:cs="微软雅黑"/>
                <w:color w:val="auto"/>
                <w:spacing w:val="-2"/>
                <w:kern w:val="0"/>
                <w:szCs w:val="21"/>
                <w:highlight w:val="none"/>
              </w:rPr>
              <w:t>复</w:t>
            </w:r>
            <w:r>
              <w:rPr>
                <w:rFonts w:hint="eastAsia" w:ascii="宋体" w:hAnsi="宋体" w:cs="微软雅黑"/>
                <w:color w:val="auto"/>
                <w:kern w:val="0"/>
                <w:szCs w:val="21"/>
                <w:highlight w:val="none"/>
              </w:rPr>
              <w:t>印</w:t>
            </w:r>
            <w:r>
              <w:rPr>
                <w:rFonts w:hint="eastAsia" w:ascii="宋体" w:hAnsi="宋体" w:cs="微软雅黑"/>
                <w:color w:val="auto"/>
                <w:spacing w:val="-2"/>
                <w:kern w:val="0"/>
                <w:szCs w:val="21"/>
                <w:highlight w:val="none"/>
              </w:rPr>
              <w:t>件</w:t>
            </w:r>
          </w:p>
        </w:tc>
      </w:tr>
    </w:tbl>
    <w:p w14:paraId="6078C596">
      <w:pPr>
        <w:adjustRightInd w:val="0"/>
        <w:snapToGrid w:val="0"/>
        <w:spacing w:before="156" w:beforeLines="50" w:line="360" w:lineRule="auto"/>
        <w:rPr>
          <w:rFonts w:ascii="宋体" w:hAnsi="宋体"/>
          <w:color w:val="auto"/>
          <w:szCs w:val="21"/>
          <w:highlight w:val="none"/>
        </w:rPr>
      </w:pPr>
      <w:r>
        <w:rPr>
          <w:rFonts w:hint="eastAsia" w:ascii="宋体" w:hAnsi="宋体"/>
          <w:color w:val="auto"/>
          <w:szCs w:val="21"/>
          <w:highlight w:val="none"/>
        </w:rPr>
        <w:t>注：供应商代表不是供应商的法定代表人（单位负责人）的提供。</w:t>
      </w:r>
    </w:p>
    <w:p w14:paraId="6B69EE59">
      <w:pPr>
        <w:adjustRightInd w:val="0"/>
        <w:snapToGrid w:val="0"/>
        <w:spacing w:before="156" w:beforeLines="50" w:line="360" w:lineRule="auto"/>
        <w:ind w:firstLine="420" w:firstLineChars="200"/>
        <w:rPr>
          <w:rFonts w:ascii="宋体" w:hAnsi="宋体"/>
          <w:color w:val="auto"/>
          <w:szCs w:val="21"/>
          <w:highlight w:val="none"/>
        </w:rPr>
      </w:pPr>
    </w:p>
    <w:p w14:paraId="6ED020FD">
      <w:pPr>
        <w:adjustRightInd w:val="0"/>
        <w:snapToGrid w:val="0"/>
        <w:spacing w:before="156" w:beforeLines="50" w:line="360" w:lineRule="auto"/>
        <w:rPr>
          <w:rFonts w:ascii="宋体" w:hAnsi="宋体" w:cs="Courier New"/>
          <w:color w:val="auto"/>
          <w:szCs w:val="21"/>
          <w:highlight w:val="none"/>
        </w:rPr>
      </w:pPr>
      <w:r>
        <w:rPr>
          <w:rFonts w:hint="eastAsia" w:ascii="宋体" w:hAnsi="宋体" w:cs="Courier New"/>
          <w:color w:val="auto"/>
          <w:szCs w:val="21"/>
          <w:highlight w:val="none"/>
        </w:rPr>
        <w:t>供应商名称(盖单位公章)：</w:t>
      </w:r>
    </w:p>
    <w:p w14:paraId="5E17C2B8">
      <w:pPr>
        <w:adjustRightInd w:val="0"/>
        <w:snapToGrid w:val="0"/>
        <w:spacing w:before="156" w:beforeLines="50" w:line="360" w:lineRule="auto"/>
        <w:rPr>
          <w:rFonts w:ascii="宋体" w:hAnsi="宋体" w:cs="微软雅黑"/>
          <w:color w:val="auto"/>
          <w:spacing w:val="-2"/>
          <w:kern w:val="0"/>
          <w:szCs w:val="21"/>
          <w:highlight w:val="none"/>
        </w:rPr>
      </w:pPr>
      <w:r>
        <w:rPr>
          <w:rFonts w:hint="eastAsia" w:ascii="宋体" w:hAnsi="宋体" w:cs="微软雅黑"/>
          <w:color w:val="auto"/>
          <w:spacing w:val="-2"/>
          <w:kern w:val="0"/>
          <w:szCs w:val="21"/>
          <w:highlight w:val="none"/>
        </w:rPr>
        <w:t>法</w:t>
      </w:r>
      <w:r>
        <w:rPr>
          <w:rFonts w:hint="eastAsia" w:ascii="宋体" w:hAnsi="宋体" w:cs="微软雅黑"/>
          <w:color w:val="auto"/>
          <w:kern w:val="0"/>
          <w:szCs w:val="21"/>
          <w:highlight w:val="none"/>
        </w:rPr>
        <w:t>定</w:t>
      </w:r>
      <w:r>
        <w:rPr>
          <w:rFonts w:hint="eastAsia" w:ascii="宋体" w:hAnsi="宋体" w:cs="微软雅黑"/>
          <w:color w:val="auto"/>
          <w:spacing w:val="-2"/>
          <w:kern w:val="0"/>
          <w:szCs w:val="21"/>
          <w:highlight w:val="none"/>
        </w:rPr>
        <w:t>代</w:t>
      </w:r>
      <w:r>
        <w:rPr>
          <w:rFonts w:hint="eastAsia" w:ascii="宋体" w:hAnsi="宋体" w:cs="微软雅黑"/>
          <w:color w:val="auto"/>
          <w:kern w:val="0"/>
          <w:szCs w:val="21"/>
          <w:highlight w:val="none"/>
        </w:rPr>
        <w:t>表</w:t>
      </w:r>
      <w:r>
        <w:rPr>
          <w:rFonts w:hint="eastAsia" w:ascii="宋体" w:hAnsi="宋体" w:cs="微软雅黑"/>
          <w:color w:val="auto"/>
          <w:spacing w:val="-2"/>
          <w:kern w:val="0"/>
          <w:szCs w:val="21"/>
          <w:highlight w:val="none"/>
        </w:rPr>
        <w:t>人</w:t>
      </w:r>
      <w:r>
        <w:rPr>
          <w:rFonts w:hint="eastAsia" w:ascii="宋体" w:hAnsi="宋体" w:cs="微软雅黑"/>
          <w:color w:val="auto"/>
          <w:kern w:val="0"/>
          <w:szCs w:val="21"/>
          <w:highlight w:val="none"/>
        </w:rPr>
        <w:t>（</w:t>
      </w:r>
      <w:r>
        <w:rPr>
          <w:rFonts w:hint="eastAsia" w:ascii="宋体" w:hAnsi="宋体" w:cs="微软雅黑"/>
          <w:color w:val="auto"/>
          <w:spacing w:val="-2"/>
          <w:kern w:val="0"/>
          <w:szCs w:val="21"/>
          <w:highlight w:val="none"/>
        </w:rPr>
        <w:t>单</w:t>
      </w:r>
      <w:r>
        <w:rPr>
          <w:rFonts w:hint="eastAsia" w:ascii="宋体" w:hAnsi="宋体" w:cs="微软雅黑"/>
          <w:color w:val="auto"/>
          <w:kern w:val="0"/>
          <w:szCs w:val="21"/>
          <w:highlight w:val="none"/>
        </w:rPr>
        <w:t>位</w:t>
      </w:r>
      <w:r>
        <w:rPr>
          <w:rFonts w:hint="eastAsia" w:ascii="宋体" w:hAnsi="宋体" w:cs="微软雅黑"/>
          <w:color w:val="auto"/>
          <w:spacing w:val="-2"/>
          <w:kern w:val="0"/>
          <w:szCs w:val="21"/>
          <w:highlight w:val="none"/>
        </w:rPr>
        <w:t>负</w:t>
      </w:r>
      <w:r>
        <w:rPr>
          <w:rFonts w:hint="eastAsia" w:ascii="宋体" w:hAnsi="宋体" w:cs="微软雅黑"/>
          <w:color w:val="auto"/>
          <w:kern w:val="0"/>
          <w:szCs w:val="21"/>
          <w:highlight w:val="none"/>
        </w:rPr>
        <w:t>责人</w:t>
      </w:r>
      <w:r>
        <w:rPr>
          <w:rFonts w:hint="eastAsia" w:ascii="宋体" w:hAnsi="宋体" w:cs="微软雅黑"/>
          <w:color w:val="auto"/>
          <w:spacing w:val="-2"/>
          <w:kern w:val="0"/>
          <w:szCs w:val="21"/>
          <w:highlight w:val="none"/>
        </w:rPr>
        <w:t>）</w:t>
      </w:r>
      <w:r>
        <w:rPr>
          <w:rFonts w:hint="eastAsia" w:ascii="宋体" w:hAnsi="宋体"/>
          <w:color w:val="auto"/>
          <w:szCs w:val="21"/>
          <w:highlight w:val="none"/>
        </w:rPr>
        <w:t>（签字或印章）：</w:t>
      </w:r>
    </w:p>
    <w:p w14:paraId="0CB9755E">
      <w:pPr>
        <w:adjustRightInd w:val="0"/>
        <w:snapToGrid w:val="0"/>
        <w:spacing w:before="156" w:beforeLines="50" w:line="360" w:lineRule="auto"/>
        <w:rPr>
          <w:rFonts w:ascii="宋体" w:hAnsi="宋体"/>
          <w:color w:val="auto"/>
          <w:szCs w:val="21"/>
          <w:highlight w:val="none"/>
          <w:u w:val="single"/>
        </w:rPr>
      </w:pPr>
      <w:r>
        <w:rPr>
          <w:rFonts w:hint="eastAsia" w:ascii="宋体" w:hAnsi="宋体"/>
          <w:color w:val="auto"/>
          <w:szCs w:val="21"/>
          <w:highlight w:val="none"/>
        </w:rPr>
        <w:t>委托代理人（签字或印章）：</w:t>
      </w:r>
    </w:p>
    <w:p w14:paraId="7CDA1BA1">
      <w:pPr>
        <w:adjustRightInd w:val="0"/>
        <w:snapToGrid w:val="0"/>
        <w:spacing w:before="156" w:beforeLines="50" w:line="360" w:lineRule="auto"/>
        <w:rPr>
          <w:rFonts w:ascii="宋体" w:hAnsi="宋体"/>
          <w:color w:val="auto"/>
          <w:highlight w:val="none"/>
        </w:rPr>
      </w:pPr>
      <w:r>
        <w:rPr>
          <w:rFonts w:hint="eastAsia" w:ascii="宋体" w:hAnsi="宋体"/>
          <w:color w:val="auto"/>
          <w:szCs w:val="21"/>
          <w:highlight w:val="none"/>
        </w:rPr>
        <w:t>日期：    年    月     日</w:t>
      </w:r>
      <w:r>
        <w:rPr>
          <w:rFonts w:ascii="宋体" w:hAnsi="宋体"/>
          <w:color w:val="auto"/>
          <w:highlight w:val="none"/>
        </w:rPr>
        <w:t xml:space="preserve"> </w:t>
      </w:r>
      <w:bookmarkStart w:id="25" w:name="_Toc107998036"/>
      <w:bookmarkStart w:id="26" w:name="_Toc14438"/>
      <w:bookmarkStart w:id="27" w:name="_Toc22201157"/>
    </w:p>
    <w:p w14:paraId="0DD829FE">
      <w:pPr>
        <w:adjustRightInd w:val="0"/>
        <w:snapToGrid w:val="0"/>
        <w:spacing w:before="156" w:beforeLines="50" w:line="360" w:lineRule="auto"/>
        <w:rPr>
          <w:rFonts w:ascii="黑体" w:hAnsi="黑体" w:eastAsia="黑体"/>
          <w:b/>
          <w:bCs/>
          <w:color w:val="auto"/>
          <w:sz w:val="28"/>
          <w:szCs w:val="28"/>
          <w:highlight w:val="none"/>
        </w:rPr>
      </w:pPr>
      <w:r>
        <w:rPr>
          <w:rFonts w:ascii="宋体" w:hAnsi="宋体"/>
          <w:color w:val="auto"/>
          <w:highlight w:val="none"/>
        </w:rPr>
        <w:br w:type="page"/>
      </w:r>
      <w:r>
        <w:rPr>
          <w:rFonts w:hint="eastAsia" w:ascii="黑体" w:hAnsi="黑体" w:eastAsia="黑体"/>
          <w:b/>
          <w:bCs/>
          <w:color w:val="auto"/>
          <w:sz w:val="28"/>
          <w:szCs w:val="28"/>
          <w:highlight w:val="none"/>
          <w:lang w:eastAsia="zh-CN"/>
        </w:rPr>
        <w:t>四</w:t>
      </w:r>
      <w:r>
        <w:rPr>
          <w:rFonts w:hint="eastAsia" w:ascii="黑体" w:hAnsi="黑体" w:eastAsia="黑体"/>
          <w:b/>
          <w:bCs/>
          <w:color w:val="auto"/>
          <w:sz w:val="28"/>
          <w:szCs w:val="28"/>
          <w:highlight w:val="none"/>
        </w:rPr>
        <w:t>、供应商资格审查材料</w:t>
      </w:r>
      <w:bookmarkEnd w:id="25"/>
      <w:bookmarkEnd w:id="26"/>
    </w:p>
    <w:p w14:paraId="18CA3021">
      <w:pPr>
        <w:keepNext/>
        <w:keepLines/>
        <w:adjustRightInd w:val="0"/>
        <w:snapToGrid w:val="0"/>
        <w:spacing w:before="156" w:beforeLines="50" w:line="360" w:lineRule="auto"/>
        <w:outlineLvl w:val="2"/>
        <w:rPr>
          <w:rFonts w:ascii="宋体" w:hAnsi="宋体"/>
          <w:b/>
          <w:bCs/>
          <w:color w:val="auto"/>
          <w:szCs w:val="21"/>
          <w:highlight w:val="none"/>
        </w:rPr>
      </w:pPr>
      <w:bookmarkStart w:id="28" w:name="_Toc27564"/>
      <w:bookmarkStart w:id="29" w:name="_Toc6418"/>
      <w:bookmarkStart w:id="30" w:name="_Toc62225545"/>
      <w:bookmarkStart w:id="31" w:name="_Toc107998044"/>
      <w:bookmarkStart w:id="32" w:name="_Toc32547"/>
      <w:bookmarkStart w:id="33" w:name="_Toc4911"/>
      <w:bookmarkStart w:id="34" w:name="_Toc23028"/>
      <w:r>
        <w:rPr>
          <w:rFonts w:hint="eastAsia" w:ascii="宋体" w:hAnsi="宋体"/>
          <w:b/>
          <w:bCs/>
          <w:color w:val="auto"/>
          <w:szCs w:val="21"/>
          <w:highlight w:val="none"/>
        </w:rPr>
        <w:t>附件</w:t>
      </w:r>
      <w:r>
        <w:rPr>
          <w:rFonts w:hint="eastAsia" w:ascii="宋体" w:hAnsi="宋体"/>
          <w:b/>
          <w:bCs/>
          <w:color w:val="auto"/>
          <w:szCs w:val="21"/>
          <w:highlight w:val="none"/>
          <w:lang w:val="en-US" w:eastAsia="zh-CN"/>
        </w:rPr>
        <w:t>4</w:t>
      </w:r>
      <w:r>
        <w:rPr>
          <w:rFonts w:hint="eastAsia" w:ascii="宋体" w:hAnsi="宋体"/>
          <w:b/>
          <w:bCs/>
          <w:color w:val="auto"/>
          <w:szCs w:val="21"/>
          <w:highlight w:val="none"/>
        </w:rPr>
        <w:t>-</w:t>
      </w:r>
      <w:r>
        <w:rPr>
          <w:rFonts w:ascii="宋体" w:hAnsi="宋体"/>
          <w:b/>
          <w:bCs/>
          <w:color w:val="auto"/>
          <w:szCs w:val="21"/>
          <w:highlight w:val="none"/>
        </w:rPr>
        <w:t>1</w:t>
      </w:r>
      <w:r>
        <w:rPr>
          <w:rFonts w:hint="eastAsia" w:ascii="宋体" w:hAnsi="宋体"/>
          <w:b/>
          <w:bCs/>
          <w:color w:val="auto"/>
          <w:szCs w:val="21"/>
          <w:highlight w:val="none"/>
        </w:rPr>
        <w:t xml:space="preserve"> 资格证明材料</w:t>
      </w:r>
      <w:bookmarkEnd w:id="28"/>
      <w:bookmarkEnd w:id="29"/>
      <w:bookmarkEnd w:id="30"/>
      <w:bookmarkEnd w:id="31"/>
      <w:bookmarkEnd w:id="32"/>
      <w:bookmarkEnd w:id="33"/>
      <w:bookmarkEnd w:id="34"/>
    </w:p>
    <w:p w14:paraId="4C099825">
      <w:pPr>
        <w:adjustRightInd w:val="0"/>
        <w:snapToGrid w:val="0"/>
        <w:spacing w:before="156" w:beforeLines="50" w:line="360" w:lineRule="auto"/>
        <w:jc w:val="center"/>
        <w:rPr>
          <w:rFonts w:ascii="仿宋_GB2312" w:hAnsi="宋体" w:eastAsia="仿宋_GB2312"/>
          <w:b/>
          <w:color w:val="auto"/>
          <w:sz w:val="28"/>
          <w:szCs w:val="28"/>
          <w:highlight w:val="none"/>
        </w:rPr>
      </w:pPr>
      <w:r>
        <w:rPr>
          <w:rFonts w:hint="eastAsia" w:ascii="黑体" w:hAnsi="宋体" w:eastAsia="黑体"/>
          <w:b/>
          <w:color w:val="auto"/>
          <w:sz w:val="28"/>
          <w:szCs w:val="28"/>
          <w:highlight w:val="none"/>
        </w:rPr>
        <w:t>供应商的资格证明材料</w:t>
      </w:r>
    </w:p>
    <w:p w14:paraId="5045F2AB">
      <w:pPr>
        <w:widowControl/>
        <w:adjustRightInd w:val="0"/>
        <w:snapToGrid w:val="0"/>
        <w:spacing w:before="0" w:beforeLines="0" w:line="4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按第二章供应商须知</w:t>
      </w:r>
      <w:r>
        <w:rPr>
          <w:rFonts w:hint="eastAsia" w:ascii="宋体" w:hAnsi="宋体" w:cs="宋体"/>
          <w:color w:val="auto"/>
          <w:sz w:val="24"/>
          <w:szCs w:val="24"/>
          <w:highlight w:val="none"/>
        </w:rPr>
        <w:t>第20.1款</w:t>
      </w:r>
      <w:r>
        <w:rPr>
          <w:rFonts w:hint="eastAsia" w:ascii="宋体" w:hAnsi="宋体" w:cs="宋体"/>
          <w:color w:val="auto"/>
          <w:sz w:val="24"/>
          <w:szCs w:val="24"/>
          <w:highlight w:val="none"/>
          <w:lang w:val="en-US" w:eastAsia="zh-CN"/>
        </w:rPr>
        <w:t>规定提交资格证明材料。</w:t>
      </w:r>
    </w:p>
    <w:p w14:paraId="2D2AEC66">
      <w:pPr>
        <w:pStyle w:val="11"/>
        <w:rPr>
          <w:color w:val="auto"/>
          <w:highlight w:val="none"/>
        </w:rPr>
      </w:pPr>
    </w:p>
    <w:p w14:paraId="7AB703B3">
      <w:pPr>
        <w:pStyle w:val="12"/>
        <w:rPr>
          <w:color w:val="auto"/>
          <w:highlight w:val="none"/>
        </w:rPr>
      </w:pPr>
    </w:p>
    <w:p w14:paraId="4221F258">
      <w:pPr>
        <w:pStyle w:val="6"/>
        <w:rPr>
          <w:color w:val="auto"/>
          <w:highlight w:val="none"/>
        </w:rPr>
      </w:pPr>
    </w:p>
    <w:p w14:paraId="3D881B3C">
      <w:pPr>
        <w:pStyle w:val="7"/>
        <w:rPr>
          <w:color w:val="auto"/>
          <w:highlight w:val="none"/>
        </w:rPr>
      </w:pPr>
    </w:p>
    <w:p w14:paraId="7F73F8A7">
      <w:pPr>
        <w:rPr>
          <w:color w:val="auto"/>
          <w:highlight w:val="none"/>
        </w:rPr>
      </w:pPr>
    </w:p>
    <w:p w14:paraId="2C707222">
      <w:pPr>
        <w:rPr>
          <w:color w:val="auto"/>
          <w:highlight w:val="none"/>
        </w:rPr>
      </w:pPr>
    </w:p>
    <w:p w14:paraId="2D637563">
      <w:pPr>
        <w:rPr>
          <w:color w:val="auto"/>
          <w:highlight w:val="none"/>
        </w:rPr>
      </w:pPr>
    </w:p>
    <w:p w14:paraId="4C8CAEA6">
      <w:pPr>
        <w:rPr>
          <w:color w:val="auto"/>
          <w:highlight w:val="none"/>
        </w:rPr>
      </w:pPr>
    </w:p>
    <w:p w14:paraId="269FCFD4">
      <w:pPr>
        <w:rPr>
          <w:color w:val="auto"/>
          <w:highlight w:val="none"/>
        </w:rPr>
      </w:pPr>
    </w:p>
    <w:p w14:paraId="5BE90460">
      <w:pPr>
        <w:rPr>
          <w:color w:val="auto"/>
          <w:highlight w:val="none"/>
        </w:rPr>
      </w:pPr>
    </w:p>
    <w:p w14:paraId="2B677EF5">
      <w:pPr>
        <w:rPr>
          <w:color w:val="auto"/>
          <w:highlight w:val="none"/>
        </w:rPr>
      </w:pPr>
    </w:p>
    <w:p w14:paraId="79134F4F">
      <w:pPr>
        <w:rPr>
          <w:color w:val="auto"/>
          <w:highlight w:val="none"/>
        </w:rPr>
      </w:pPr>
    </w:p>
    <w:p w14:paraId="11984C38">
      <w:pPr>
        <w:rPr>
          <w:color w:val="auto"/>
          <w:highlight w:val="none"/>
        </w:rPr>
      </w:pPr>
    </w:p>
    <w:p w14:paraId="0DEC4B23">
      <w:pPr>
        <w:rPr>
          <w:color w:val="auto"/>
          <w:highlight w:val="none"/>
        </w:rPr>
      </w:pPr>
    </w:p>
    <w:p w14:paraId="24D06874">
      <w:pPr>
        <w:rPr>
          <w:color w:val="auto"/>
          <w:highlight w:val="none"/>
        </w:rPr>
      </w:pPr>
    </w:p>
    <w:p w14:paraId="150503D1">
      <w:pPr>
        <w:rPr>
          <w:color w:val="auto"/>
          <w:highlight w:val="none"/>
        </w:rPr>
      </w:pPr>
    </w:p>
    <w:p w14:paraId="52D2AC55">
      <w:pPr>
        <w:rPr>
          <w:color w:val="auto"/>
          <w:highlight w:val="none"/>
        </w:rPr>
      </w:pPr>
    </w:p>
    <w:p w14:paraId="624E6C83">
      <w:pPr>
        <w:rPr>
          <w:color w:val="auto"/>
          <w:highlight w:val="none"/>
        </w:rPr>
      </w:pPr>
    </w:p>
    <w:p w14:paraId="775E8885">
      <w:pPr>
        <w:rPr>
          <w:color w:val="auto"/>
          <w:highlight w:val="none"/>
        </w:rPr>
      </w:pPr>
    </w:p>
    <w:p w14:paraId="363CB2C3">
      <w:pPr>
        <w:rPr>
          <w:color w:val="auto"/>
          <w:highlight w:val="none"/>
        </w:rPr>
      </w:pPr>
    </w:p>
    <w:p w14:paraId="4EEEBD21">
      <w:pPr>
        <w:rPr>
          <w:color w:val="auto"/>
          <w:highlight w:val="none"/>
        </w:rPr>
      </w:pPr>
    </w:p>
    <w:p w14:paraId="53703CAF">
      <w:pPr>
        <w:rPr>
          <w:color w:val="auto"/>
          <w:highlight w:val="none"/>
        </w:rPr>
      </w:pPr>
    </w:p>
    <w:p w14:paraId="1635DEEF">
      <w:pPr>
        <w:rPr>
          <w:color w:val="auto"/>
          <w:highlight w:val="none"/>
        </w:rPr>
      </w:pPr>
    </w:p>
    <w:p w14:paraId="6392FDAB">
      <w:pPr>
        <w:rPr>
          <w:color w:val="auto"/>
          <w:highlight w:val="none"/>
        </w:rPr>
      </w:pPr>
    </w:p>
    <w:p w14:paraId="2785A81A">
      <w:pPr>
        <w:rPr>
          <w:color w:val="auto"/>
          <w:highlight w:val="none"/>
        </w:rPr>
      </w:pPr>
    </w:p>
    <w:p w14:paraId="7E6F9135">
      <w:pPr>
        <w:rPr>
          <w:color w:val="auto"/>
          <w:highlight w:val="none"/>
        </w:rPr>
      </w:pPr>
    </w:p>
    <w:p w14:paraId="20669A5A">
      <w:pPr>
        <w:rPr>
          <w:color w:val="auto"/>
          <w:highlight w:val="none"/>
        </w:rPr>
      </w:pPr>
    </w:p>
    <w:p w14:paraId="4BA50547">
      <w:pPr>
        <w:rPr>
          <w:color w:val="auto"/>
          <w:highlight w:val="none"/>
        </w:rPr>
      </w:pPr>
    </w:p>
    <w:p w14:paraId="1AD99022">
      <w:pPr>
        <w:rPr>
          <w:color w:val="auto"/>
          <w:highlight w:val="none"/>
        </w:rPr>
      </w:pPr>
    </w:p>
    <w:p w14:paraId="4928F6AB">
      <w:pPr>
        <w:rPr>
          <w:color w:val="auto"/>
          <w:highlight w:val="none"/>
        </w:rPr>
      </w:pPr>
    </w:p>
    <w:p w14:paraId="407706C5">
      <w:pPr>
        <w:rPr>
          <w:color w:val="auto"/>
          <w:highlight w:val="none"/>
        </w:rPr>
      </w:pPr>
    </w:p>
    <w:p w14:paraId="042C71C9">
      <w:pPr>
        <w:rPr>
          <w:color w:val="auto"/>
          <w:highlight w:val="none"/>
        </w:rPr>
      </w:pPr>
    </w:p>
    <w:p w14:paraId="53F8D7B9">
      <w:pPr>
        <w:rPr>
          <w:color w:val="auto"/>
          <w:highlight w:val="none"/>
        </w:rPr>
      </w:pPr>
    </w:p>
    <w:p w14:paraId="600BFBB7">
      <w:pPr>
        <w:rPr>
          <w:color w:val="auto"/>
          <w:highlight w:val="none"/>
        </w:rPr>
      </w:pPr>
    </w:p>
    <w:p w14:paraId="3284AB80">
      <w:pPr>
        <w:rPr>
          <w:color w:val="auto"/>
          <w:highlight w:val="none"/>
        </w:rPr>
      </w:pPr>
    </w:p>
    <w:p w14:paraId="4FD14173">
      <w:pPr>
        <w:rPr>
          <w:color w:val="auto"/>
          <w:highlight w:val="none"/>
        </w:rPr>
      </w:pPr>
    </w:p>
    <w:p w14:paraId="5E32CF28">
      <w:pPr>
        <w:keepNext/>
        <w:keepLines/>
        <w:spacing w:line="360" w:lineRule="auto"/>
        <w:jc w:val="center"/>
        <w:outlineLvl w:val="1"/>
        <w:rPr>
          <w:rFonts w:ascii="黑体" w:hAnsi="黑体" w:eastAsia="黑体"/>
          <w:b/>
          <w:bCs/>
          <w:color w:val="auto"/>
          <w:sz w:val="28"/>
          <w:szCs w:val="28"/>
          <w:highlight w:val="none"/>
        </w:rPr>
      </w:pPr>
      <w:bookmarkStart w:id="35" w:name="_Toc20754"/>
      <w:bookmarkStart w:id="36" w:name="_Toc107998045"/>
      <w:bookmarkStart w:id="37" w:name="_Toc26725"/>
      <w:r>
        <w:rPr>
          <w:rFonts w:hint="eastAsia" w:ascii="黑体" w:hAnsi="黑体" w:eastAsia="黑体"/>
          <w:b/>
          <w:bCs/>
          <w:color w:val="auto"/>
          <w:sz w:val="28"/>
          <w:szCs w:val="28"/>
          <w:highlight w:val="none"/>
          <w:lang w:eastAsia="zh-CN"/>
        </w:rPr>
        <w:t>五</w:t>
      </w:r>
      <w:r>
        <w:rPr>
          <w:rFonts w:hint="eastAsia" w:ascii="黑体" w:hAnsi="黑体" w:eastAsia="黑体"/>
          <w:b/>
          <w:bCs/>
          <w:color w:val="auto"/>
          <w:sz w:val="28"/>
          <w:szCs w:val="28"/>
          <w:highlight w:val="none"/>
        </w:rPr>
        <w:t>、</w:t>
      </w:r>
      <w:bookmarkEnd w:id="27"/>
      <w:bookmarkEnd w:id="35"/>
      <w:bookmarkEnd w:id="36"/>
      <w:r>
        <w:rPr>
          <w:rFonts w:hint="eastAsia" w:ascii="黑体" w:hAnsi="黑体" w:eastAsia="黑体"/>
          <w:b/>
          <w:bCs/>
          <w:color w:val="auto"/>
          <w:sz w:val="28"/>
          <w:szCs w:val="28"/>
          <w:highlight w:val="none"/>
        </w:rPr>
        <w:t>施工组织设计方案</w:t>
      </w:r>
      <w:bookmarkEnd w:id="37"/>
    </w:p>
    <w:p w14:paraId="0AB3C9B3">
      <w:pPr>
        <w:widowControl/>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附件</w:t>
      </w:r>
      <w:r>
        <w:rPr>
          <w:rFonts w:hint="eastAsia" w:ascii="宋体" w:hAnsi="宋体" w:cs="宋体"/>
          <w:b w:val="0"/>
          <w:bCs w:val="0"/>
          <w:color w:val="auto"/>
          <w:kern w:val="2"/>
          <w:sz w:val="21"/>
          <w:szCs w:val="21"/>
          <w:highlight w:val="none"/>
          <w:lang w:val="en-US" w:eastAsia="zh-CN" w:bidi="ar-SA"/>
        </w:rPr>
        <w:t>5</w:t>
      </w:r>
      <w:r>
        <w:rPr>
          <w:rFonts w:hint="eastAsia" w:ascii="宋体" w:hAnsi="宋体" w:eastAsia="宋体" w:cs="宋体"/>
          <w:b w:val="0"/>
          <w:bCs w:val="0"/>
          <w:color w:val="auto"/>
          <w:kern w:val="2"/>
          <w:sz w:val="21"/>
          <w:szCs w:val="21"/>
          <w:highlight w:val="none"/>
          <w:lang w:val="en-US" w:eastAsia="zh-CN" w:bidi="ar-SA"/>
        </w:rPr>
        <w:t>-1</w:t>
      </w:r>
    </w:p>
    <w:p w14:paraId="2065A14F">
      <w:pPr>
        <w:adjustRightInd w:val="0"/>
        <w:snapToGrid w:val="0"/>
        <w:jc w:val="center"/>
        <w:rPr>
          <w:rFonts w:ascii="黑体" w:eastAsia="黑体"/>
          <w:color w:val="auto"/>
          <w:sz w:val="30"/>
          <w:szCs w:val="30"/>
          <w:highlight w:val="none"/>
        </w:rPr>
      </w:pPr>
      <w:r>
        <w:rPr>
          <w:rFonts w:hint="eastAsia" w:ascii="黑体" w:hAnsi="黑体" w:eastAsia="黑体"/>
          <w:b/>
          <w:bCs/>
          <w:color w:val="auto"/>
          <w:sz w:val="28"/>
          <w:szCs w:val="28"/>
          <w:highlight w:val="none"/>
        </w:rPr>
        <w:t>施工组织设计方案说明</w:t>
      </w:r>
    </w:p>
    <w:p w14:paraId="378FD44E">
      <w:pPr>
        <w:adjustRightInd w:val="0"/>
        <w:snapToGrid w:val="0"/>
        <w:rPr>
          <w:rFonts w:ascii="宋体" w:hAnsi="宋体"/>
          <w:color w:val="auto"/>
          <w:szCs w:val="21"/>
          <w:highlight w:val="none"/>
        </w:rPr>
      </w:pPr>
    </w:p>
    <w:p w14:paraId="6B9D30F3">
      <w:pPr>
        <w:pStyle w:val="11"/>
        <w:rPr>
          <w:color w:val="auto"/>
          <w:highlight w:val="none"/>
        </w:rPr>
      </w:pPr>
    </w:p>
    <w:p w14:paraId="09E0D898">
      <w:pPr>
        <w:pStyle w:val="13"/>
        <w:adjustRightInd w:val="0"/>
        <w:snapToGrid w:val="0"/>
        <w:spacing w:line="480" w:lineRule="exact"/>
        <w:ind w:firstLine="420" w:firstLineChars="200"/>
        <w:rPr>
          <w:rFonts w:ascii="Times New Roman" w:hAnsi="Times New Roman"/>
          <w:color w:val="auto"/>
          <w:highlight w:val="none"/>
        </w:rPr>
      </w:pPr>
      <w:r>
        <w:rPr>
          <w:rFonts w:hint="eastAsia" w:ascii="Times New Roman" w:hAnsi="Times New Roman"/>
          <w:color w:val="auto"/>
          <w:highlight w:val="none"/>
        </w:rPr>
        <w:t>供应商应根据第二章附件评标方法及标准及第三章采购需求编写施工组织设计方案说明。</w:t>
      </w:r>
      <w:r>
        <w:rPr>
          <w:b/>
          <w:color w:val="auto"/>
          <w:highlight w:val="none"/>
        </w:rPr>
        <w:t>（格式自拟，具体参考详见附</w:t>
      </w:r>
      <w:r>
        <w:rPr>
          <w:rFonts w:hint="eastAsia"/>
          <w:b/>
          <w:color w:val="auto"/>
          <w:highlight w:val="none"/>
          <w:lang w:val="en-US" w:eastAsia="zh-CN"/>
        </w:rPr>
        <w:t>表</w:t>
      </w:r>
      <w:r>
        <w:rPr>
          <w:b/>
          <w:color w:val="auto"/>
          <w:highlight w:val="none"/>
        </w:rPr>
        <w:t>评审因素和标准和采购需求编制）</w:t>
      </w:r>
      <w:r>
        <w:rPr>
          <w:rFonts w:hint="eastAsia"/>
          <w:b/>
          <w:color w:val="auto"/>
          <w:highlight w:val="none"/>
        </w:rPr>
        <w:t>。</w:t>
      </w:r>
    </w:p>
    <w:p w14:paraId="55894383">
      <w:pPr>
        <w:adjustRightInd w:val="0"/>
        <w:snapToGrid w:val="0"/>
        <w:rPr>
          <w:rFonts w:ascii="宋体" w:hAnsi="宋体"/>
          <w:color w:val="auto"/>
          <w:szCs w:val="21"/>
          <w:highlight w:val="none"/>
        </w:rPr>
      </w:pPr>
    </w:p>
    <w:p w14:paraId="6CEA9753">
      <w:pPr>
        <w:adjustRightInd w:val="0"/>
        <w:snapToGrid w:val="0"/>
        <w:rPr>
          <w:rFonts w:ascii="宋体" w:hAnsi="宋体"/>
          <w:color w:val="auto"/>
          <w:szCs w:val="21"/>
          <w:highlight w:val="none"/>
        </w:rPr>
      </w:pPr>
    </w:p>
    <w:p w14:paraId="157E04A7">
      <w:pPr>
        <w:adjustRightInd w:val="0"/>
        <w:snapToGrid w:val="0"/>
        <w:rPr>
          <w:rFonts w:ascii="宋体" w:hAnsi="宋体"/>
          <w:color w:val="auto"/>
          <w:szCs w:val="21"/>
          <w:highlight w:val="none"/>
        </w:rPr>
      </w:pPr>
    </w:p>
    <w:p w14:paraId="56454C86">
      <w:pPr>
        <w:adjustRightInd w:val="0"/>
        <w:snapToGrid w:val="0"/>
        <w:rPr>
          <w:rFonts w:ascii="宋体" w:hAnsi="宋体"/>
          <w:color w:val="auto"/>
          <w:szCs w:val="21"/>
          <w:highlight w:val="none"/>
        </w:rPr>
      </w:pPr>
    </w:p>
    <w:p w14:paraId="0D3AB969">
      <w:pPr>
        <w:adjustRightInd w:val="0"/>
        <w:snapToGrid w:val="0"/>
        <w:rPr>
          <w:rFonts w:ascii="宋体" w:hAnsi="宋体"/>
          <w:color w:val="auto"/>
          <w:szCs w:val="21"/>
          <w:highlight w:val="none"/>
        </w:rPr>
      </w:pPr>
    </w:p>
    <w:p w14:paraId="4767E6FE">
      <w:pPr>
        <w:adjustRightInd w:val="0"/>
        <w:snapToGrid w:val="0"/>
        <w:rPr>
          <w:rFonts w:ascii="宋体" w:hAnsi="宋体"/>
          <w:color w:val="auto"/>
          <w:szCs w:val="21"/>
          <w:highlight w:val="none"/>
        </w:rPr>
      </w:pPr>
    </w:p>
    <w:p w14:paraId="39C64013">
      <w:pPr>
        <w:pStyle w:val="11"/>
        <w:rPr>
          <w:rFonts w:ascii="宋体" w:hAnsi="宋体"/>
          <w:color w:val="auto"/>
          <w:szCs w:val="21"/>
          <w:highlight w:val="none"/>
        </w:rPr>
      </w:pPr>
    </w:p>
    <w:p w14:paraId="10DFBB63">
      <w:pPr>
        <w:pStyle w:val="11"/>
        <w:rPr>
          <w:rFonts w:ascii="宋体" w:hAnsi="宋体"/>
          <w:color w:val="auto"/>
          <w:szCs w:val="21"/>
          <w:highlight w:val="none"/>
        </w:rPr>
      </w:pPr>
    </w:p>
    <w:p w14:paraId="7E84AA3C">
      <w:pPr>
        <w:pStyle w:val="11"/>
        <w:rPr>
          <w:rFonts w:ascii="宋体" w:hAnsi="宋体"/>
          <w:color w:val="auto"/>
          <w:szCs w:val="21"/>
          <w:highlight w:val="none"/>
        </w:rPr>
      </w:pPr>
    </w:p>
    <w:p w14:paraId="0177CC69">
      <w:pPr>
        <w:pStyle w:val="11"/>
        <w:rPr>
          <w:rFonts w:ascii="宋体" w:hAnsi="宋体"/>
          <w:color w:val="auto"/>
          <w:szCs w:val="21"/>
          <w:highlight w:val="none"/>
        </w:rPr>
      </w:pPr>
    </w:p>
    <w:p w14:paraId="03277E2B">
      <w:pPr>
        <w:pStyle w:val="11"/>
        <w:rPr>
          <w:rFonts w:ascii="宋体" w:hAnsi="宋体"/>
          <w:color w:val="auto"/>
          <w:szCs w:val="21"/>
          <w:highlight w:val="none"/>
        </w:rPr>
      </w:pPr>
    </w:p>
    <w:p w14:paraId="5366C6DE">
      <w:pPr>
        <w:pStyle w:val="11"/>
        <w:rPr>
          <w:rFonts w:ascii="宋体" w:hAnsi="宋体"/>
          <w:color w:val="auto"/>
          <w:szCs w:val="21"/>
          <w:highlight w:val="none"/>
        </w:rPr>
      </w:pPr>
    </w:p>
    <w:p w14:paraId="66E005E7">
      <w:pPr>
        <w:pStyle w:val="11"/>
        <w:rPr>
          <w:rFonts w:ascii="宋体" w:hAnsi="宋体"/>
          <w:color w:val="auto"/>
          <w:szCs w:val="21"/>
          <w:highlight w:val="none"/>
        </w:rPr>
      </w:pPr>
    </w:p>
    <w:p w14:paraId="4CFB7B98">
      <w:pPr>
        <w:pStyle w:val="11"/>
        <w:rPr>
          <w:rFonts w:ascii="宋体" w:hAnsi="宋体"/>
          <w:color w:val="auto"/>
          <w:szCs w:val="21"/>
          <w:highlight w:val="none"/>
        </w:rPr>
      </w:pPr>
    </w:p>
    <w:p w14:paraId="2913542D">
      <w:pPr>
        <w:pStyle w:val="11"/>
        <w:rPr>
          <w:rFonts w:ascii="宋体" w:hAnsi="宋体"/>
          <w:color w:val="auto"/>
          <w:szCs w:val="21"/>
          <w:highlight w:val="none"/>
        </w:rPr>
      </w:pPr>
    </w:p>
    <w:p w14:paraId="131AADB5">
      <w:pPr>
        <w:pStyle w:val="11"/>
        <w:rPr>
          <w:rFonts w:ascii="宋体" w:hAnsi="宋体"/>
          <w:color w:val="auto"/>
          <w:szCs w:val="21"/>
          <w:highlight w:val="none"/>
        </w:rPr>
      </w:pPr>
    </w:p>
    <w:p w14:paraId="101F9BE3">
      <w:pPr>
        <w:pStyle w:val="11"/>
        <w:rPr>
          <w:rFonts w:ascii="宋体" w:hAnsi="宋体"/>
          <w:color w:val="auto"/>
          <w:szCs w:val="21"/>
          <w:highlight w:val="none"/>
        </w:rPr>
      </w:pPr>
    </w:p>
    <w:p w14:paraId="6821B9A7">
      <w:pPr>
        <w:pStyle w:val="11"/>
        <w:rPr>
          <w:rFonts w:ascii="宋体" w:hAnsi="宋体"/>
          <w:color w:val="auto"/>
          <w:szCs w:val="21"/>
          <w:highlight w:val="none"/>
        </w:rPr>
      </w:pPr>
    </w:p>
    <w:p w14:paraId="1FF511DE">
      <w:pPr>
        <w:pStyle w:val="11"/>
        <w:rPr>
          <w:rFonts w:ascii="宋体" w:hAnsi="宋体"/>
          <w:color w:val="auto"/>
          <w:szCs w:val="21"/>
          <w:highlight w:val="none"/>
        </w:rPr>
      </w:pPr>
    </w:p>
    <w:p w14:paraId="462B9CD3">
      <w:pPr>
        <w:adjustRightInd w:val="0"/>
        <w:snapToGrid w:val="0"/>
        <w:rPr>
          <w:rFonts w:ascii="宋体" w:hAnsi="宋体"/>
          <w:color w:val="auto"/>
          <w:szCs w:val="21"/>
          <w:highlight w:val="none"/>
        </w:rPr>
      </w:pPr>
    </w:p>
    <w:p w14:paraId="12C9631C">
      <w:pPr>
        <w:pStyle w:val="14"/>
        <w:adjustRightInd w:val="0"/>
        <w:snapToGrid w:val="0"/>
        <w:spacing w:line="360" w:lineRule="auto"/>
        <w:rPr>
          <w:rFonts w:ascii="宋体" w:hAnsi="宋体"/>
          <w:bCs/>
          <w:color w:val="auto"/>
          <w:sz w:val="21"/>
          <w:szCs w:val="21"/>
          <w:highlight w:val="none"/>
        </w:rPr>
      </w:pPr>
      <w:r>
        <w:rPr>
          <w:rFonts w:hint="eastAsia" w:ascii="宋体" w:hAnsi="宋体"/>
          <w:color w:val="auto"/>
          <w:sz w:val="21"/>
          <w:szCs w:val="21"/>
          <w:highlight w:val="none"/>
        </w:rPr>
        <w:t>供应商名称：</w:t>
      </w:r>
      <w:r>
        <w:rPr>
          <w:rFonts w:hint="eastAsia" w:ascii="宋体" w:hAnsi="宋体"/>
          <w:color w:val="auto"/>
          <w:sz w:val="21"/>
          <w:szCs w:val="21"/>
          <w:highlight w:val="none"/>
          <w:u w:val="single"/>
        </w:rPr>
        <w:t xml:space="preserve">                </w:t>
      </w:r>
    </w:p>
    <w:p w14:paraId="61C3E1E6">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法定代表人或其委托代理人(签字)：</w:t>
      </w:r>
      <w:r>
        <w:rPr>
          <w:rFonts w:hint="eastAsia" w:ascii="宋体" w:hAnsi="宋体"/>
          <w:color w:val="auto"/>
          <w:szCs w:val="21"/>
          <w:highlight w:val="none"/>
          <w:u w:val="single"/>
        </w:rPr>
        <w:t xml:space="preserve">              </w:t>
      </w:r>
      <w:r>
        <w:rPr>
          <w:rFonts w:hint="eastAsia" w:ascii="宋体" w:hAnsi="宋体"/>
          <w:color w:val="auto"/>
          <w:szCs w:val="21"/>
          <w:highlight w:val="none"/>
        </w:rPr>
        <w:t>_</w:t>
      </w:r>
    </w:p>
    <w:p w14:paraId="4847F067">
      <w:pPr>
        <w:adjustRightInd w:val="0"/>
        <w:snapToGrid w:val="0"/>
        <w:spacing w:line="360" w:lineRule="auto"/>
        <w:rPr>
          <w:rFonts w:ascii="黑体" w:hAnsi="宋体" w:eastAsia="黑体"/>
          <w:b/>
          <w:bCs/>
          <w:color w:val="auto"/>
          <w:sz w:val="28"/>
          <w:szCs w:val="28"/>
          <w:highlight w:val="none"/>
        </w:rPr>
      </w:pPr>
      <w:r>
        <w:rPr>
          <w:rFonts w:hint="eastAsia" w:ascii="宋体" w:hAnsi="宋体"/>
          <w:color w:val="auto"/>
          <w:szCs w:val="21"/>
          <w:highlight w:val="none"/>
        </w:rPr>
        <w:t>日期：   年   月   日</w:t>
      </w:r>
    </w:p>
    <w:p w14:paraId="6CA0CECA">
      <w:pPr>
        <w:adjustRightInd w:val="0"/>
        <w:snapToGrid w:val="0"/>
        <w:spacing w:line="360" w:lineRule="auto"/>
        <w:rPr>
          <w:rFonts w:ascii="宋体" w:hAnsi="宋体"/>
          <w:color w:val="auto"/>
          <w:szCs w:val="21"/>
          <w:highlight w:val="none"/>
        </w:rPr>
      </w:pPr>
    </w:p>
    <w:p w14:paraId="285FBAEE">
      <w:pPr>
        <w:adjustRightInd w:val="0"/>
        <w:snapToGrid w:val="0"/>
        <w:rPr>
          <w:rFonts w:ascii="黑体" w:eastAsia="黑体"/>
          <w:color w:val="auto"/>
          <w:sz w:val="30"/>
          <w:szCs w:val="30"/>
          <w:highlight w:val="none"/>
        </w:rPr>
      </w:pPr>
    </w:p>
    <w:p w14:paraId="2C2B620D">
      <w:pPr>
        <w:spacing w:line="360" w:lineRule="atLeast"/>
        <w:jc w:val="left"/>
        <w:rPr>
          <w:rFonts w:ascii="黑体" w:eastAsia="黑体"/>
          <w:color w:val="auto"/>
          <w:sz w:val="30"/>
          <w:szCs w:val="30"/>
          <w:highlight w:val="none"/>
        </w:rPr>
      </w:pPr>
      <w:r>
        <w:rPr>
          <w:rFonts w:hint="eastAsia" w:ascii="黑体" w:eastAsia="黑体"/>
          <w:color w:val="auto"/>
          <w:sz w:val="30"/>
          <w:szCs w:val="30"/>
          <w:highlight w:val="none"/>
        </w:rPr>
        <w:br w:type="page"/>
      </w:r>
    </w:p>
    <w:p w14:paraId="588E58BD">
      <w:pPr>
        <w:spacing w:line="360" w:lineRule="atLeas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-2</w:t>
      </w:r>
      <w:bookmarkStart w:id="38" w:name="_Toc3006"/>
      <w:r>
        <w:rPr>
          <w:rFonts w:hint="eastAsia" w:ascii="宋体" w:hAnsi="宋体" w:eastAsia="宋体" w:cs="宋体"/>
          <w:color w:val="auto"/>
          <w:sz w:val="24"/>
          <w:highlight w:val="none"/>
        </w:rPr>
        <w:t>人员配备情况表</w:t>
      </w:r>
    </w:p>
    <w:p w14:paraId="4134AF58">
      <w:pPr>
        <w:spacing w:line="360" w:lineRule="atLeast"/>
        <w:jc w:val="center"/>
        <w:rPr>
          <w:rFonts w:ascii="黑体" w:eastAsia="黑体"/>
          <w:color w:val="auto"/>
          <w:sz w:val="30"/>
          <w:szCs w:val="30"/>
          <w:highlight w:val="none"/>
        </w:rPr>
      </w:pPr>
      <w:r>
        <w:rPr>
          <w:rFonts w:hint="eastAsia" w:ascii="黑体" w:eastAsia="黑体"/>
          <w:color w:val="auto"/>
          <w:sz w:val="30"/>
          <w:szCs w:val="30"/>
          <w:highlight w:val="none"/>
        </w:rPr>
        <w:t>人员配备情况表</w:t>
      </w:r>
    </w:p>
    <w:p w14:paraId="4635A7A4">
      <w:pPr>
        <w:adjustRightInd w:val="0"/>
        <w:snapToGrid w:val="0"/>
        <w:rPr>
          <w:rFonts w:ascii="黑体" w:hAnsi="宋体" w:eastAsia="黑体"/>
          <w:color w:val="auto"/>
          <w:szCs w:val="21"/>
          <w:highlight w:val="none"/>
          <w:lang w:bidi="ar"/>
        </w:rPr>
      </w:pPr>
    </w:p>
    <w:p w14:paraId="5EBA6F9B">
      <w:pPr>
        <w:adjustRightInd w:val="0"/>
        <w:snapToGrid w:val="0"/>
        <w:rPr>
          <w:rFonts w:ascii="宋体" w:hAnsi="宋体" w:cs="宋体"/>
          <w:color w:val="auto"/>
          <w:szCs w:val="21"/>
          <w:highlight w:val="none"/>
        </w:rPr>
      </w:pPr>
      <w:r>
        <w:rPr>
          <w:rFonts w:hint="eastAsia" w:ascii="宋体" w:hAnsi="宋体" w:cs="宋体"/>
          <w:color w:val="auto"/>
          <w:szCs w:val="21"/>
          <w:highlight w:val="none"/>
          <w:lang w:bidi="ar"/>
        </w:rPr>
        <w:t xml:space="preserve">采购编号：                                          项目名称：                           </w:t>
      </w:r>
    </w:p>
    <w:tbl>
      <w:tblPr>
        <w:tblStyle w:val="2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2240"/>
        <w:gridCol w:w="1013"/>
        <w:gridCol w:w="1812"/>
        <w:gridCol w:w="1812"/>
        <w:gridCol w:w="1044"/>
      </w:tblGrid>
      <w:tr w14:paraId="71A94B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79" w:type="dxa"/>
            <w:tcBorders>
              <w:bottom w:val="single" w:color="auto" w:sz="4" w:space="0"/>
              <w:right w:val="single" w:color="auto" w:sz="4" w:space="0"/>
            </w:tcBorders>
            <w:vAlign w:val="center"/>
          </w:tcPr>
          <w:p w14:paraId="131E5741">
            <w:pPr>
              <w:adjustRightInd w:val="0"/>
              <w:snapToGrid w:val="0"/>
              <w:spacing w:before="156" w:beforeLines="50" w:line="360" w:lineRule="auto"/>
              <w:jc w:val="center"/>
              <w:rPr>
                <w:rFonts w:ascii="宋体" w:hAnsi="宋体" w:cs="宋体"/>
                <w:b/>
                <w:color w:val="auto"/>
                <w:szCs w:val="21"/>
                <w:highlight w:val="none"/>
              </w:rPr>
            </w:pPr>
            <w:r>
              <w:rPr>
                <w:rFonts w:hint="eastAsia" w:ascii="宋体" w:hAnsi="宋体" w:cs="宋体"/>
                <w:b/>
                <w:color w:val="auto"/>
                <w:szCs w:val="21"/>
                <w:highlight w:val="none"/>
                <w:lang w:bidi="ar"/>
              </w:rPr>
              <w:t>序号</w:t>
            </w:r>
          </w:p>
        </w:tc>
        <w:tc>
          <w:tcPr>
            <w:tcW w:w="2240" w:type="dxa"/>
            <w:tcBorders>
              <w:left w:val="single" w:color="auto" w:sz="4" w:space="0"/>
              <w:bottom w:val="single" w:color="auto" w:sz="4" w:space="0"/>
              <w:right w:val="single" w:color="auto" w:sz="4" w:space="0"/>
            </w:tcBorders>
            <w:vAlign w:val="center"/>
          </w:tcPr>
          <w:p w14:paraId="35BD2D73">
            <w:pPr>
              <w:adjustRightInd w:val="0"/>
              <w:snapToGrid w:val="0"/>
              <w:spacing w:before="156" w:beforeLines="50" w:line="360" w:lineRule="auto"/>
              <w:jc w:val="center"/>
              <w:rPr>
                <w:rFonts w:ascii="宋体" w:hAnsi="宋体" w:cs="宋体"/>
                <w:b/>
                <w:color w:val="auto"/>
                <w:szCs w:val="21"/>
                <w:highlight w:val="none"/>
              </w:rPr>
            </w:pPr>
            <w:r>
              <w:rPr>
                <w:rFonts w:hint="eastAsia" w:ascii="宋体" w:hAnsi="宋体" w:cs="宋体"/>
                <w:b/>
                <w:color w:val="auto"/>
                <w:szCs w:val="21"/>
                <w:highlight w:val="none"/>
                <w:lang w:bidi="ar"/>
              </w:rPr>
              <w:t>拟投本项目人员姓名</w:t>
            </w:r>
          </w:p>
        </w:tc>
        <w:tc>
          <w:tcPr>
            <w:tcW w:w="1013" w:type="dxa"/>
            <w:tcBorders>
              <w:left w:val="single" w:color="auto" w:sz="4" w:space="0"/>
              <w:bottom w:val="single" w:color="auto" w:sz="4" w:space="0"/>
              <w:right w:val="single" w:color="auto" w:sz="4" w:space="0"/>
            </w:tcBorders>
            <w:vAlign w:val="center"/>
          </w:tcPr>
          <w:p w14:paraId="5855C69D">
            <w:pPr>
              <w:adjustRightInd w:val="0"/>
              <w:snapToGrid w:val="0"/>
              <w:spacing w:before="156" w:beforeLines="50" w:line="360" w:lineRule="auto"/>
              <w:jc w:val="center"/>
              <w:rPr>
                <w:rFonts w:ascii="宋体" w:hAnsi="宋体" w:cs="宋体"/>
                <w:b/>
                <w:color w:val="auto"/>
                <w:szCs w:val="21"/>
                <w:highlight w:val="none"/>
              </w:rPr>
            </w:pPr>
            <w:r>
              <w:rPr>
                <w:rFonts w:hint="eastAsia" w:ascii="宋体" w:hAnsi="宋体" w:cs="宋体"/>
                <w:b/>
                <w:color w:val="auto"/>
                <w:szCs w:val="21"/>
                <w:highlight w:val="none"/>
                <w:lang w:bidi="ar"/>
              </w:rPr>
              <w:t>职称</w:t>
            </w:r>
          </w:p>
        </w:tc>
        <w:tc>
          <w:tcPr>
            <w:tcW w:w="1812" w:type="dxa"/>
            <w:tcBorders>
              <w:left w:val="single" w:color="auto" w:sz="4" w:space="0"/>
              <w:bottom w:val="single" w:color="auto" w:sz="4" w:space="0"/>
              <w:right w:val="single" w:color="auto" w:sz="4" w:space="0"/>
            </w:tcBorders>
            <w:vAlign w:val="center"/>
          </w:tcPr>
          <w:p w14:paraId="0D81BD5C">
            <w:pPr>
              <w:adjustRightInd w:val="0"/>
              <w:snapToGrid w:val="0"/>
              <w:spacing w:before="156" w:beforeLines="50" w:line="360" w:lineRule="auto"/>
              <w:jc w:val="center"/>
              <w:rPr>
                <w:rFonts w:ascii="宋体" w:hAnsi="宋体" w:cs="宋体"/>
                <w:b/>
                <w:color w:val="auto"/>
                <w:szCs w:val="21"/>
                <w:highlight w:val="none"/>
                <w:lang w:bidi="ar"/>
              </w:rPr>
            </w:pPr>
            <w:r>
              <w:rPr>
                <w:rFonts w:hint="eastAsia" w:ascii="宋体" w:hAnsi="宋体" w:cs="宋体"/>
                <w:b/>
                <w:color w:val="auto"/>
                <w:szCs w:val="21"/>
                <w:highlight w:val="none"/>
                <w:lang w:bidi="ar"/>
              </w:rPr>
              <w:t>在本项目中</w:t>
            </w:r>
          </w:p>
          <w:p w14:paraId="06A3ACB8">
            <w:pPr>
              <w:adjustRightInd w:val="0"/>
              <w:snapToGrid w:val="0"/>
              <w:spacing w:before="156" w:beforeLines="50" w:line="360" w:lineRule="auto"/>
              <w:jc w:val="center"/>
              <w:rPr>
                <w:rFonts w:ascii="宋体" w:hAnsi="宋体" w:cs="宋体"/>
                <w:b/>
                <w:color w:val="auto"/>
                <w:szCs w:val="21"/>
                <w:highlight w:val="none"/>
              </w:rPr>
            </w:pPr>
            <w:r>
              <w:rPr>
                <w:rFonts w:hint="eastAsia" w:ascii="宋体" w:hAnsi="宋体" w:cs="宋体"/>
                <w:b/>
                <w:color w:val="auto"/>
                <w:szCs w:val="21"/>
                <w:highlight w:val="none"/>
                <w:lang w:bidi="ar"/>
              </w:rPr>
              <w:t>的工作职责</w:t>
            </w:r>
          </w:p>
        </w:tc>
        <w:tc>
          <w:tcPr>
            <w:tcW w:w="1812" w:type="dxa"/>
            <w:tcBorders>
              <w:left w:val="single" w:color="auto" w:sz="4" w:space="0"/>
              <w:bottom w:val="single" w:color="auto" w:sz="4" w:space="0"/>
              <w:right w:val="single" w:color="auto" w:sz="4" w:space="0"/>
            </w:tcBorders>
            <w:vAlign w:val="center"/>
          </w:tcPr>
          <w:p w14:paraId="01632F7B">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lang w:bidi="ar"/>
              </w:rPr>
              <w:t>相关证书名称</w:t>
            </w:r>
          </w:p>
        </w:tc>
        <w:tc>
          <w:tcPr>
            <w:tcW w:w="1044" w:type="dxa"/>
            <w:tcBorders>
              <w:left w:val="single" w:color="auto" w:sz="4" w:space="0"/>
              <w:bottom w:val="single" w:color="auto" w:sz="4" w:space="0"/>
            </w:tcBorders>
            <w:vAlign w:val="center"/>
          </w:tcPr>
          <w:p w14:paraId="6ABB98D5">
            <w:pPr>
              <w:adjustRightInd w:val="0"/>
              <w:snapToGrid w:val="0"/>
              <w:spacing w:before="156" w:beforeLines="50" w:line="360" w:lineRule="auto"/>
              <w:jc w:val="center"/>
              <w:rPr>
                <w:rFonts w:ascii="宋体" w:hAnsi="宋体" w:cs="宋体"/>
                <w:b/>
                <w:color w:val="auto"/>
                <w:szCs w:val="21"/>
                <w:highlight w:val="none"/>
              </w:rPr>
            </w:pPr>
            <w:r>
              <w:rPr>
                <w:rFonts w:hint="eastAsia" w:ascii="宋体" w:hAnsi="宋体" w:cs="宋体"/>
                <w:b/>
                <w:color w:val="auto"/>
                <w:szCs w:val="21"/>
                <w:highlight w:val="none"/>
                <w:lang w:bidi="ar"/>
              </w:rPr>
              <w:t>备注</w:t>
            </w:r>
          </w:p>
        </w:tc>
      </w:tr>
      <w:tr w14:paraId="0E2637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bottom w:val="single" w:color="auto" w:sz="4" w:space="0"/>
              <w:right w:val="single" w:color="auto" w:sz="4" w:space="0"/>
            </w:tcBorders>
            <w:vAlign w:val="center"/>
          </w:tcPr>
          <w:p w14:paraId="7792714F">
            <w:pPr>
              <w:adjustRightInd w:val="0"/>
              <w:snapToGrid w:val="0"/>
              <w:spacing w:before="156" w:beforeLines="50" w:line="360" w:lineRule="auto"/>
              <w:jc w:val="center"/>
              <w:rPr>
                <w:rFonts w:ascii="宋体" w:hAnsi="宋体" w:cs="宋体"/>
                <w:color w:val="auto"/>
                <w:szCs w:val="21"/>
                <w:highlight w:val="none"/>
              </w:rPr>
            </w:pPr>
          </w:p>
        </w:tc>
        <w:tc>
          <w:tcPr>
            <w:tcW w:w="2240" w:type="dxa"/>
            <w:tcBorders>
              <w:top w:val="single" w:color="auto" w:sz="4" w:space="0"/>
              <w:left w:val="single" w:color="auto" w:sz="4" w:space="0"/>
              <w:bottom w:val="single" w:color="auto" w:sz="4" w:space="0"/>
              <w:right w:val="single" w:color="auto" w:sz="4" w:space="0"/>
            </w:tcBorders>
            <w:vAlign w:val="center"/>
          </w:tcPr>
          <w:p w14:paraId="3516C455">
            <w:pPr>
              <w:adjustRightInd w:val="0"/>
              <w:snapToGrid w:val="0"/>
              <w:spacing w:before="156"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 xml:space="preserve"> </w:t>
            </w:r>
          </w:p>
        </w:tc>
        <w:tc>
          <w:tcPr>
            <w:tcW w:w="1013" w:type="dxa"/>
            <w:tcBorders>
              <w:top w:val="single" w:color="auto" w:sz="4" w:space="0"/>
              <w:left w:val="single" w:color="auto" w:sz="4" w:space="0"/>
              <w:bottom w:val="single" w:color="auto" w:sz="4" w:space="0"/>
              <w:right w:val="single" w:color="auto" w:sz="4" w:space="0"/>
            </w:tcBorders>
            <w:vAlign w:val="center"/>
          </w:tcPr>
          <w:p w14:paraId="5D2E3E73">
            <w:pPr>
              <w:adjustRightInd w:val="0"/>
              <w:snapToGrid w:val="0"/>
              <w:spacing w:before="156" w:beforeLines="50" w:line="360" w:lineRule="auto"/>
              <w:jc w:val="center"/>
              <w:rPr>
                <w:rFonts w:ascii="宋体" w:hAnsi="宋体" w:cs="宋体"/>
                <w:color w:val="auto"/>
                <w:szCs w:val="21"/>
                <w:highlight w:val="none"/>
              </w:rPr>
            </w:pPr>
          </w:p>
        </w:tc>
        <w:tc>
          <w:tcPr>
            <w:tcW w:w="1812" w:type="dxa"/>
            <w:tcBorders>
              <w:top w:val="single" w:color="auto" w:sz="4" w:space="0"/>
              <w:left w:val="single" w:color="auto" w:sz="4" w:space="0"/>
              <w:bottom w:val="single" w:color="auto" w:sz="4" w:space="0"/>
              <w:right w:val="single" w:color="auto" w:sz="4" w:space="0"/>
            </w:tcBorders>
            <w:vAlign w:val="center"/>
          </w:tcPr>
          <w:p w14:paraId="034016D1">
            <w:pPr>
              <w:adjustRightInd w:val="0"/>
              <w:snapToGrid w:val="0"/>
              <w:spacing w:before="156" w:beforeLines="50" w:line="360" w:lineRule="auto"/>
              <w:jc w:val="center"/>
              <w:rPr>
                <w:rFonts w:ascii="宋体" w:hAnsi="宋体" w:cs="宋体"/>
                <w:color w:val="auto"/>
                <w:szCs w:val="21"/>
                <w:highlight w:val="none"/>
              </w:rPr>
            </w:pPr>
          </w:p>
        </w:tc>
        <w:tc>
          <w:tcPr>
            <w:tcW w:w="1812" w:type="dxa"/>
            <w:tcBorders>
              <w:top w:val="single" w:color="auto" w:sz="4" w:space="0"/>
              <w:left w:val="single" w:color="auto" w:sz="4" w:space="0"/>
              <w:bottom w:val="single" w:color="auto" w:sz="4" w:space="0"/>
              <w:right w:val="single" w:color="auto" w:sz="4" w:space="0"/>
            </w:tcBorders>
            <w:vAlign w:val="center"/>
          </w:tcPr>
          <w:p w14:paraId="2A38A359">
            <w:pPr>
              <w:adjustRightInd w:val="0"/>
              <w:snapToGrid w:val="0"/>
              <w:spacing w:before="156" w:beforeLines="50" w:line="360" w:lineRule="auto"/>
              <w:jc w:val="center"/>
              <w:rPr>
                <w:rFonts w:ascii="宋体" w:hAnsi="宋体" w:cs="宋体"/>
                <w:color w:val="auto"/>
                <w:szCs w:val="21"/>
                <w:highlight w:val="none"/>
              </w:rPr>
            </w:pPr>
          </w:p>
        </w:tc>
        <w:tc>
          <w:tcPr>
            <w:tcW w:w="1044" w:type="dxa"/>
            <w:tcBorders>
              <w:top w:val="single" w:color="auto" w:sz="4" w:space="0"/>
              <w:left w:val="single" w:color="auto" w:sz="4" w:space="0"/>
              <w:bottom w:val="single" w:color="auto" w:sz="4" w:space="0"/>
            </w:tcBorders>
            <w:vAlign w:val="center"/>
          </w:tcPr>
          <w:p w14:paraId="2C254E41">
            <w:pPr>
              <w:adjustRightInd w:val="0"/>
              <w:snapToGrid w:val="0"/>
              <w:spacing w:before="156" w:beforeLines="50" w:line="360" w:lineRule="auto"/>
              <w:jc w:val="center"/>
              <w:rPr>
                <w:rFonts w:ascii="宋体" w:hAnsi="宋体" w:cs="宋体"/>
                <w:color w:val="auto"/>
                <w:szCs w:val="21"/>
                <w:highlight w:val="none"/>
              </w:rPr>
            </w:pPr>
          </w:p>
        </w:tc>
      </w:tr>
      <w:tr w14:paraId="4501B7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bottom w:val="single" w:color="auto" w:sz="4" w:space="0"/>
              <w:right w:val="single" w:color="auto" w:sz="4" w:space="0"/>
            </w:tcBorders>
            <w:vAlign w:val="center"/>
          </w:tcPr>
          <w:p w14:paraId="1D259CC4">
            <w:pPr>
              <w:adjustRightInd w:val="0"/>
              <w:snapToGrid w:val="0"/>
              <w:spacing w:before="156" w:beforeLines="50" w:line="360" w:lineRule="auto"/>
              <w:jc w:val="center"/>
              <w:rPr>
                <w:rFonts w:ascii="宋体" w:hAnsi="宋体" w:cs="宋体"/>
                <w:color w:val="auto"/>
                <w:szCs w:val="21"/>
                <w:highlight w:val="none"/>
              </w:rPr>
            </w:pPr>
          </w:p>
        </w:tc>
        <w:tc>
          <w:tcPr>
            <w:tcW w:w="2240" w:type="dxa"/>
            <w:tcBorders>
              <w:top w:val="single" w:color="auto" w:sz="4" w:space="0"/>
              <w:left w:val="single" w:color="auto" w:sz="4" w:space="0"/>
              <w:bottom w:val="single" w:color="auto" w:sz="4" w:space="0"/>
              <w:right w:val="single" w:color="auto" w:sz="4" w:space="0"/>
            </w:tcBorders>
            <w:vAlign w:val="center"/>
          </w:tcPr>
          <w:p w14:paraId="1A371893">
            <w:pPr>
              <w:adjustRightInd w:val="0"/>
              <w:snapToGrid w:val="0"/>
              <w:spacing w:before="156" w:beforeLines="50" w:line="360" w:lineRule="auto"/>
              <w:jc w:val="center"/>
              <w:rPr>
                <w:rFonts w:ascii="宋体" w:hAnsi="宋体" w:cs="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vAlign w:val="center"/>
          </w:tcPr>
          <w:p w14:paraId="27036DAB">
            <w:pPr>
              <w:adjustRightInd w:val="0"/>
              <w:snapToGrid w:val="0"/>
              <w:spacing w:before="156" w:beforeLines="50" w:line="360" w:lineRule="auto"/>
              <w:jc w:val="center"/>
              <w:rPr>
                <w:rFonts w:ascii="宋体" w:hAnsi="宋体" w:cs="宋体"/>
                <w:color w:val="auto"/>
                <w:szCs w:val="21"/>
                <w:highlight w:val="none"/>
              </w:rPr>
            </w:pPr>
          </w:p>
        </w:tc>
        <w:tc>
          <w:tcPr>
            <w:tcW w:w="1812" w:type="dxa"/>
            <w:tcBorders>
              <w:top w:val="single" w:color="auto" w:sz="4" w:space="0"/>
              <w:left w:val="single" w:color="auto" w:sz="4" w:space="0"/>
              <w:bottom w:val="single" w:color="auto" w:sz="4" w:space="0"/>
              <w:right w:val="single" w:color="auto" w:sz="4" w:space="0"/>
            </w:tcBorders>
            <w:vAlign w:val="center"/>
          </w:tcPr>
          <w:p w14:paraId="55A7D053">
            <w:pPr>
              <w:adjustRightInd w:val="0"/>
              <w:snapToGrid w:val="0"/>
              <w:spacing w:before="156" w:beforeLines="50" w:line="360" w:lineRule="auto"/>
              <w:jc w:val="center"/>
              <w:rPr>
                <w:rFonts w:ascii="宋体" w:hAnsi="宋体" w:cs="宋体"/>
                <w:color w:val="auto"/>
                <w:szCs w:val="21"/>
                <w:highlight w:val="none"/>
              </w:rPr>
            </w:pPr>
          </w:p>
        </w:tc>
        <w:tc>
          <w:tcPr>
            <w:tcW w:w="1812" w:type="dxa"/>
            <w:tcBorders>
              <w:top w:val="single" w:color="auto" w:sz="4" w:space="0"/>
              <w:left w:val="single" w:color="auto" w:sz="4" w:space="0"/>
              <w:bottom w:val="single" w:color="auto" w:sz="4" w:space="0"/>
              <w:right w:val="single" w:color="auto" w:sz="4" w:space="0"/>
            </w:tcBorders>
            <w:vAlign w:val="center"/>
          </w:tcPr>
          <w:p w14:paraId="3766B8DC">
            <w:pPr>
              <w:adjustRightInd w:val="0"/>
              <w:snapToGrid w:val="0"/>
              <w:spacing w:before="156" w:beforeLines="50" w:line="360" w:lineRule="auto"/>
              <w:jc w:val="center"/>
              <w:rPr>
                <w:rFonts w:ascii="宋体" w:hAnsi="宋体" w:cs="宋体"/>
                <w:color w:val="auto"/>
                <w:szCs w:val="21"/>
                <w:highlight w:val="none"/>
              </w:rPr>
            </w:pPr>
          </w:p>
        </w:tc>
        <w:tc>
          <w:tcPr>
            <w:tcW w:w="1044" w:type="dxa"/>
            <w:tcBorders>
              <w:top w:val="single" w:color="auto" w:sz="4" w:space="0"/>
              <w:left w:val="single" w:color="auto" w:sz="4" w:space="0"/>
              <w:bottom w:val="single" w:color="auto" w:sz="4" w:space="0"/>
            </w:tcBorders>
            <w:vAlign w:val="center"/>
          </w:tcPr>
          <w:p w14:paraId="10D75ABD">
            <w:pPr>
              <w:adjustRightInd w:val="0"/>
              <w:snapToGrid w:val="0"/>
              <w:spacing w:before="156" w:beforeLines="50" w:line="360" w:lineRule="auto"/>
              <w:jc w:val="center"/>
              <w:rPr>
                <w:rFonts w:ascii="宋体" w:hAnsi="宋体" w:cs="宋体"/>
                <w:color w:val="auto"/>
                <w:szCs w:val="21"/>
                <w:highlight w:val="none"/>
              </w:rPr>
            </w:pPr>
          </w:p>
        </w:tc>
      </w:tr>
      <w:tr w14:paraId="71227C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bottom w:val="single" w:color="auto" w:sz="4" w:space="0"/>
              <w:right w:val="single" w:color="auto" w:sz="4" w:space="0"/>
            </w:tcBorders>
            <w:vAlign w:val="center"/>
          </w:tcPr>
          <w:p w14:paraId="075C5351">
            <w:pPr>
              <w:adjustRightInd w:val="0"/>
              <w:snapToGrid w:val="0"/>
              <w:spacing w:before="156" w:beforeLines="50" w:line="360" w:lineRule="auto"/>
              <w:jc w:val="center"/>
              <w:rPr>
                <w:rFonts w:ascii="宋体" w:hAnsi="宋体" w:cs="宋体"/>
                <w:color w:val="auto"/>
                <w:szCs w:val="21"/>
                <w:highlight w:val="none"/>
              </w:rPr>
            </w:pPr>
          </w:p>
        </w:tc>
        <w:tc>
          <w:tcPr>
            <w:tcW w:w="2240" w:type="dxa"/>
            <w:tcBorders>
              <w:top w:val="single" w:color="auto" w:sz="4" w:space="0"/>
              <w:left w:val="single" w:color="auto" w:sz="4" w:space="0"/>
              <w:bottom w:val="single" w:color="auto" w:sz="4" w:space="0"/>
              <w:right w:val="single" w:color="auto" w:sz="4" w:space="0"/>
            </w:tcBorders>
            <w:vAlign w:val="center"/>
          </w:tcPr>
          <w:p w14:paraId="7048601E">
            <w:pPr>
              <w:adjustRightInd w:val="0"/>
              <w:snapToGrid w:val="0"/>
              <w:spacing w:before="156" w:beforeLines="50" w:line="360" w:lineRule="auto"/>
              <w:jc w:val="center"/>
              <w:rPr>
                <w:rFonts w:ascii="宋体" w:hAnsi="宋体" w:cs="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vAlign w:val="center"/>
          </w:tcPr>
          <w:p w14:paraId="526CC198">
            <w:pPr>
              <w:adjustRightInd w:val="0"/>
              <w:snapToGrid w:val="0"/>
              <w:spacing w:before="156" w:beforeLines="50" w:line="360" w:lineRule="auto"/>
              <w:jc w:val="center"/>
              <w:rPr>
                <w:rFonts w:ascii="宋体" w:hAnsi="宋体" w:cs="宋体"/>
                <w:color w:val="auto"/>
                <w:szCs w:val="21"/>
                <w:highlight w:val="none"/>
              </w:rPr>
            </w:pPr>
          </w:p>
        </w:tc>
        <w:tc>
          <w:tcPr>
            <w:tcW w:w="1812" w:type="dxa"/>
            <w:tcBorders>
              <w:top w:val="single" w:color="auto" w:sz="4" w:space="0"/>
              <w:left w:val="single" w:color="auto" w:sz="4" w:space="0"/>
              <w:bottom w:val="single" w:color="auto" w:sz="4" w:space="0"/>
              <w:right w:val="single" w:color="auto" w:sz="4" w:space="0"/>
            </w:tcBorders>
            <w:vAlign w:val="center"/>
          </w:tcPr>
          <w:p w14:paraId="3DB1473E">
            <w:pPr>
              <w:adjustRightInd w:val="0"/>
              <w:snapToGrid w:val="0"/>
              <w:spacing w:before="156" w:beforeLines="50" w:line="360" w:lineRule="auto"/>
              <w:jc w:val="center"/>
              <w:rPr>
                <w:rFonts w:ascii="宋体" w:hAnsi="宋体" w:cs="宋体"/>
                <w:color w:val="auto"/>
                <w:szCs w:val="21"/>
                <w:highlight w:val="none"/>
              </w:rPr>
            </w:pPr>
          </w:p>
        </w:tc>
        <w:tc>
          <w:tcPr>
            <w:tcW w:w="1812" w:type="dxa"/>
            <w:tcBorders>
              <w:top w:val="single" w:color="auto" w:sz="4" w:space="0"/>
              <w:left w:val="single" w:color="auto" w:sz="4" w:space="0"/>
              <w:bottom w:val="single" w:color="auto" w:sz="4" w:space="0"/>
              <w:right w:val="single" w:color="auto" w:sz="4" w:space="0"/>
            </w:tcBorders>
            <w:vAlign w:val="center"/>
          </w:tcPr>
          <w:p w14:paraId="1B908D1F">
            <w:pPr>
              <w:adjustRightInd w:val="0"/>
              <w:snapToGrid w:val="0"/>
              <w:spacing w:before="156" w:beforeLines="50" w:line="360" w:lineRule="auto"/>
              <w:jc w:val="center"/>
              <w:rPr>
                <w:rFonts w:ascii="宋体" w:hAnsi="宋体" w:cs="宋体"/>
                <w:color w:val="auto"/>
                <w:szCs w:val="21"/>
                <w:highlight w:val="none"/>
              </w:rPr>
            </w:pPr>
          </w:p>
        </w:tc>
        <w:tc>
          <w:tcPr>
            <w:tcW w:w="1044" w:type="dxa"/>
            <w:tcBorders>
              <w:top w:val="single" w:color="auto" w:sz="4" w:space="0"/>
              <w:left w:val="single" w:color="auto" w:sz="4" w:space="0"/>
              <w:bottom w:val="single" w:color="auto" w:sz="4" w:space="0"/>
            </w:tcBorders>
            <w:vAlign w:val="center"/>
          </w:tcPr>
          <w:p w14:paraId="37B37755">
            <w:pPr>
              <w:adjustRightInd w:val="0"/>
              <w:snapToGrid w:val="0"/>
              <w:spacing w:before="156" w:beforeLines="50" w:line="360" w:lineRule="auto"/>
              <w:jc w:val="center"/>
              <w:rPr>
                <w:rFonts w:ascii="宋体" w:hAnsi="宋体" w:cs="宋体"/>
                <w:color w:val="auto"/>
                <w:szCs w:val="21"/>
                <w:highlight w:val="none"/>
              </w:rPr>
            </w:pPr>
          </w:p>
        </w:tc>
      </w:tr>
      <w:tr w14:paraId="6C3D7E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bottom w:val="single" w:color="auto" w:sz="4" w:space="0"/>
              <w:right w:val="single" w:color="auto" w:sz="4" w:space="0"/>
            </w:tcBorders>
            <w:vAlign w:val="center"/>
          </w:tcPr>
          <w:p w14:paraId="7F7F4377">
            <w:pPr>
              <w:adjustRightInd w:val="0"/>
              <w:snapToGrid w:val="0"/>
              <w:spacing w:before="156" w:beforeLines="50" w:line="360" w:lineRule="auto"/>
              <w:jc w:val="center"/>
              <w:rPr>
                <w:rFonts w:ascii="宋体" w:hAnsi="宋体" w:cs="宋体"/>
                <w:color w:val="auto"/>
                <w:szCs w:val="21"/>
                <w:highlight w:val="none"/>
              </w:rPr>
            </w:pPr>
          </w:p>
        </w:tc>
        <w:tc>
          <w:tcPr>
            <w:tcW w:w="2240" w:type="dxa"/>
            <w:tcBorders>
              <w:top w:val="single" w:color="auto" w:sz="4" w:space="0"/>
              <w:left w:val="single" w:color="auto" w:sz="4" w:space="0"/>
              <w:bottom w:val="single" w:color="auto" w:sz="4" w:space="0"/>
              <w:right w:val="single" w:color="auto" w:sz="4" w:space="0"/>
            </w:tcBorders>
            <w:vAlign w:val="center"/>
          </w:tcPr>
          <w:p w14:paraId="00195131">
            <w:pPr>
              <w:adjustRightInd w:val="0"/>
              <w:snapToGrid w:val="0"/>
              <w:spacing w:before="156" w:beforeLines="50" w:line="360" w:lineRule="auto"/>
              <w:jc w:val="center"/>
              <w:rPr>
                <w:rFonts w:ascii="宋体" w:hAnsi="宋体" w:cs="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vAlign w:val="center"/>
          </w:tcPr>
          <w:p w14:paraId="3647D81D">
            <w:pPr>
              <w:adjustRightInd w:val="0"/>
              <w:snapToGrid w:val="0"/>
              <w:spacing w:before="156" w:beforeLines="50" w:line="360" w:lineRule="auto"/>
              <w:jc w:val="center"/>
              <w:rPr>
                <w:rFonts w:ascii="宋体" w:hAnsi="宋体" w:cs="宋体"/>
                <w:color w:val="auto"/>
                <w:szCs w:val="21"/>
                <w:highlight w:val="none"/>
              </w:rPr>
            </w:pPr>
          </w:p>
        </w:tc>
        <w:tc>
          <w:tcPr>
            <w:tcW w:w="1812" w:type="dxa"/>
            <w:tcBorders>
              <w:top w:val="single" w:color="auto" w:sz="4" w:space="0"/>
              <w:left w:val="single" w:color="auto" w:sz="4" w:space="0"/>
              <w:bottom w:val="single" w:color="auto" w:sz="4" w:space="0"/>
              <w:right w:val="single" w:color="auto" w:sz="4" w:space="0"/>
            </w:tcBorders>
            <w:vAlign w:val="center"/>
          </w:tcPr>
          <w:p w14:paraId="09821A6B">
            <w:pPr>
              <w:adjustRightInd w:val="0"/>
              <w:snapToGrid w:val="0"/>
              <w:spacing w:before="156" w:beforeLines="50" w:line="360" w:lineRule="auto"/>
              <w:jc w:val="center"/>
              <w:rPr>
                <w:rFonts w:ascii="宋体" w:hAnsi="宋体" w:cs="宋体"/>
                <w:color w:val="auto"/>
                <w:szCs w:val="21"/>
                <w:highlight w:val="none"/>
              </w:rPr>
            </w:pPr>
          </w:p>
        </w:tc>
        <w:tc>
          <w:tcPr>
            <w:tcW w:w="1812" w:type="dxa"/>
            <w:tcBorders>
              <w:top w:val="single" w:color="auto" w:sz="4" w:space="0"/>
              <w:left w:val="single" w:color="auto" w:sz="4" w:space="0"/>
              <w:bottom w:val="single" w:color="auto" w:sz="4" w:space="0"/>
              <w:right w:val="single" w:color="auto" w:sz="4" w:space="0"/>
            </w:tcBorders>
            <w:vAlign w:val="center"/>
          </w:tcPr>
          <w:p w14:paraId="27E73FF5">
            <w:pPr>
              <w:adjustRightInd w:val="0"/>
              <w:snapToGrid w:val="0"/>
              <w:spacing w:before="156" w:beforeLines="50" w:line="360" w:lineRule="auto"/>
              <w:jc w:val="center"/>
              <w:rPr>
                <w:rFonts w:ascii="宋体" w:hAnsi="宋体" w:cs="宋体"/>
                <w:color w:val="auto"/>
                <w:szCs w:val="21"/>
                <w:highlight w:val="none"/>
              </w:rPr>
            </w:pPr>
          </w:p>
        </w:tc>
        <w:tc>
          <w:tcPr>
            <w:tcW w:w="1044" w:type="dxa"/>
            <w:tcBorders>
              <w:top w:val="single" w:color="auto" w:sz="4" w:space="0"/>
              <w:left w:val="single" w:color="auto" w:sz="4" w:space="0"/>
              <w:bottom w:val="single" w:color="auto" w:sz="4" w:space="0"/>
            </w:tcBorders>
            <w:vAlign w:val="center"/>
          </w:tcPr>
          <w:p w14:paraId="4F776694">
            <w:pPr>
              <w:adjustRightInd w:val="0"/>
              <w:snapToGrid w:val="0"/>
              <w:spacing w:before="156" w:beforeLines="50" w:line="360" w:lineRule="auto"/>
              <w:jc w:val="center"/>
              <w:rPr>
                <w:rFonts w:ascii="宋体" w:hAnsi="宋体" w:cs="宋体"/>
                <w:color w:val="auto"/>
                <w:szCs w:val="21"/>
                <w:highlight w:val="none"/>
              </w:rPr>
            </w:pPr>
          </w:p>
        </w:tc>
      </w:tr>
      <w:tr w14:paraId="32D07E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right w:val="single" w:color="auto" w:sz="4" w:space="0"/>
            </w:tcBorders>
            <w:vAlign w:val="center"/>
          </w:tcPr>
          <w:p w14:paraId="3FFE4C0A">
            <w:pPr>
              <w:adjustRightInd w:val="0"/>
              <w:snapToGrid w:val="0"/>
              <w:spacing w:before="156" w:beforeLines="50" w:line="360" w:lineRule="auto"/>
              <w:jc w:val="center"/>
              <w:rPr>
                <w:rFonts w:ascii="宋体" w:hAnsi="宋体" w:cs="宋体"/>
                <w:color w:val="auto"/>
                <w:szCs w:val="21"/>
                <w:highlight w:val="none"/>
              </w:rPr>
            </w:pPr>
          </w:p>
        </w:tc>
        <w:tc>
          <w:tcPr>
            <w:tcW w:w="2240" w:type="dxa"/>
            <w:tcBorders>
              <w:top w:val="single" w:color="auto" w:sz="4" w:space="0"/>
              <w:left w:val="single" w:color="auto" w:sz="4" w:space="0"/>
              <w:right w:val="single" w:color="auto" w:sz="4" w:space="0"/>
            </w:tcBorders>
            <w:vAlign w:val="center"/>
          </w:tcPr>
          <w:p w14:paraId="3B45149E">
            <w:pPr>
              <w:adjustRightInd w:val="0"/>
              <w:snapToGrid w:val="0"/>
              <w:spacing w:before="156" w:beforeLines="50" w:line="360" w:lineRule="auto"/>
              <w:jc w:val="center"/>
              <w:rPr>
                <w:rFonts w:ascii="宋体" w:hAnsi="宋体" w:cs="宋体"/>
                <w:color w:val="auto"/>
                <w:szCs w:val="21"/>
                <w:highlight w:val="none"/>
              </w:rPr>
            </w:pPr>
          </w:p>
        </w:tc>
        <w:tc>
          <w:tcPr>
            <w:tcW w:w="1013" w:type="dxa"/>
            <w:tcBorders>
              <w:top w:val="single" w:color="auto" w:sz="4" w:space="0"/>
              <w:left w:val="single" w:color="auto" w:sz="4" w:space="0"/>
              <w:right w:val="single" w:color="auto" w:sz="4" w:space="0"/>
            </w:tcBorders>
            <w:vAlign w:val="center"/>
          </w:tcPr>
          <w:p w14:paraId="7AAD4E57">
            <w:pPr>
              <w:adjustRightInd w:val="0"/>
              <w:snapToGrid w:val="0"/>
              <w:spacing w:before="156" w:beforeLines="50" w:line="360" w:lineRule="auto"/>
              <w:jc w:val="center"/>
              <w:rPr>
                <w:rFonts w:ascii="宋体" w:hAnsi="宋体" w:cs="宋体"/>
                <w:color w:val="auto"/>
                <w:szCs w:val="21"/>
                <w:highlight w:val="none"/>
              </w:rPr>
            </w:pPr>
          </w:p>
        </w:tc>
        <w:tc>
          <w:tcPr>
            <w:tcW w:w="1812" w:type="dxa"/>
            <w:tcBorders>
              <w:top w:val="single" w:color="auto" w:sz="4" w:space="0"/>
              <w:left w:val="single" w:color="auto" w:sz="4" w:space="0"/>
              <w:right w:val="single" w:color="auto" w:sz="4" w:space="0"/>
            </w:tcBorders>
            <w:vAlign w:val="center"/>
          </w:tcPr>
          <w:p w14:paraId="3AA9FD5C">
            <w:pPr>
              <w:adjustRightInd w:val="0"/>
              <w:snapToGrid w:val="0"/>
              <w:spacing w:before="156" w:beforeLines="50" w:line="360" w:lineRule="auto"/>
              <w:jc w:val="center"/>
              <w:rPr>
                <w:rFonts w:ascii="宋体" w:hAnsi="宋体" w:cs="宋体"/>
                <w:color w:val="auto"/>
                <w:szCs w:val="21"/>
                <w:highlight w:val="none"/>
              </w:rPr>
            </w:pPr>
          </w:p>
        </w:tc>
        <w:tc>
          <w:tcPr>
            <w:tcW w:w="1812" w:type="dxa"/>
            <w:tcBorders>
              <w:top w:val="single" w:color="auto" w:sz="4" w:space="0"/>
              <w:left w:val="single" w:color="auto" w:sz="4" w:space="0"/>
              <w:right w:val="single" w:color="auto" w:sz="4" w:space="0"/>
            </w:tcBorders>
            <w:vAlign w:val="center"/>
          </w:tcPr>
          <w:p w14:paraId="22A2ADD1">
            <w:pPr>
              <w:adjustRightInd w:val="0"/>
              <w:snapToGrid w:val="0"/>
              <w:spacing w:before="156" w:beforeLines="50" w:line="360" w:lineRule="auto"/>
              <w:jc w:val="center"/>
              <w:rPr>
                <w:rFonts w:ascii="宋体" w:hAnsi="宋体" w:cs="宋体"/>
                <w:color w:val="auto"/>
                <w:szCs w:val="21"/>
                <w:highlight w:val="none"/>
              </w:rPr>
            </w:pPr>
          </w:p>
        </w:tc>
        <w:tc>
          <w:tcPr>
            <w:tcW w:w="1044" w:type="dxa"/>
            <w:tcBorders>
              <w:top w:val="single" w:color="auto" w:sz="4" w:space="0"/>
              <w:left w:val="single" w:color="auto" w:sz="4" w:space="0"/>
            </w:tcBorders>
            <w:vAlign w:val="center"/>
          </w:tcPr>
          <w:p w14:paraId="0F0C60E3">
            <w:pPr>
              <w:adjustRightInd w:val="0"/>
              <w:snapToGrid w:val="0"/>
              <w:spacing w:before="156" w:beforeLines="50" w:line="360" w:lineRule="auto"/>
              <w:jc w:val="center"/>
              <w:rPr>
                <w:rFonts w:ascii="宋体" w:hAnsi="宋体" w:cs="宋体"/>
                <w:color w:val="auto"/>
                <w:szCs w:val="21"/>
                <w:highlight w:val="none"/>
              </w:rPr>
            </w:pPr>
          </w:p>
        </w:tc>
      </w:tr>
    </w:tbl>
    <w:p w14:paraId="71D16790">
      <w:pPr>
        <w:spacing w:line="360" w:lineRule="auto"/>
        <w:rPr>
          <w:rFonts w:ascii="宋体" w:hAnsi="宋体" w:cs="宋体"/>
          <w:color w:val="auto"/>
          <w:szCs w:val="21"/>
          <w:highlight w:val="none"/>
        </w:rPr>
      </w:pPr>
      <w:r>
        <w:rPr>
          <w:rFonts w:hint="eastAsia" w:ascii="宋体" w:hAnsi="宋体" w:cs="宋体"/>
          <w:color w:val="auto"/>
          <w:szCs w:val="21"/>
          <w:highlight w:val="none"/>
          <w:lang w:bidi="ar"/>
        </w:rPr>
        <w:t>注：1、供应商根据本项目实际需求配备人员。</w:t>
      </w:r>
    </w:p>
    <w:p w14:paraId="06D2E69A">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2、供应商应根据</w:t>
      </w:r>
      <w:r>
        <w:rPr>
          <w:rFonts w:hint="eastAsia" w:ascii="宋体" w:hAnsi="宋体" w:cs="宋体"/>
          <w:color w:val="auto"/>
          <w:szCs w:val="21"/>
          <w:highlight w:val="none"/>
          <w:lang w:eastAsia="zh-CN"/>
        </w:rPr>
        <w:t>竞争性谈判</w:t>
      </w:r>
      <w:r>
        <w:rPr>
          <w:rFonts w:hint="eastAsia" w:ascii="宋体" w:hAnsi="宋体" w:cs="宋体"/>
          <w:color w:val="auto"/>
          <w:szCs w:val="21"/>
          <w:highlight w:val="none"/>
        </w:rPr>
        <w:t>文件要求自行编制。</w:t>
      </w:r>
    </w:p>
    <w:p w14:paraId="0C673A37">
      <w:pPr>
        <w:rPr>
          <w:rFonts w:ascii="宋体" w:hAnsi="宋体" w:cs="宋体"/>
          <w:color w:val="auto"/>
          <w:szCs w:val="21"/>
          <w:highlight w:val="none"/>
        </w:rPr>
      </w:pPr>
    </w:p>
    <w:p w14:paraId="15A193EB">
      <w:pPr>
        <w:adjustRightInd w:val="0"/>
        <w:snapToGrid w:val="0"/>
        <w:spacing w:line="360" w:lineRule="auto"/>
        <w:rPr>
          <w:rFonts w:ascii="宋体" w:hAnsi="宋体" w:cs="宋体"/>
          <w:color w:val="auto"/>
          <w:szCs w:val="21"/>
          <w:highlight w:val="none"/>
        </w:rPr>
      </w:pPr>
    </w:p>
    <w:p w14:paraId="3F9B0EFD">
      <w:pPr>
        <w:rPr>
          <w:rFonts w:ascii="宋体" w:hAnsi="宋体" w:cs="宋体"/>
          <w:color w:val="auto"/>
          <w:szCs w:val="21"/>
          <w:highlight w:val="none"/>
        </w:rPr>
      </w:pPr>
    </w:p>
    <w:p w14:paraId="23054227">
      <w:pPr>
        <w:spacing w:line="480" w:lineRule="exact"/>
        <w:rPr>
          <w:rFonts w:ascii="宋体" w:hAnsi="宋体" w:cs="宋体"/>
          <w:color w:val="auto"/>
          <w:highlight w:val="none"/>
        </w:rPr>
      </w:pPr>
      <w:r>
        <w:rPr>
          <w:rFonts w:hint="eastAsia" w:ascii="宋体" w:hAnsi="宋体" w:cs="宋体"/>
          <w:color w:val="auto"/>
          <w:highlight w:val="none"/>
        </w:rPr>
        <w:t xml:space="preserve">供应商名称：                </w:t>
      </w:r>
    </w:p>
    <w:p w14:paraId="5BD207CD">
      <w:pPr>
        <w:spacing w:line="480" w:lineRule="exact"/>
        <w:rPr>
          <w:rFonts w:ascii="宋体" w:hAnsi="宋体" w:cs="宋体"/>
          <w:color w:val="auto"/>
          <w:highlight w:val="none"/>
        </w:rPr>
      </w:pPr>
      <w:r>
        <w:rPr>
          <w:rFonts w:hint="eastAsia" w:ascii="宋体" w:hAnsi="宋体" w:cs="宋体"/>
          <w:color w:val="auto"/>
          <w:highlight w:val="none"/>
        </w:rPr>
        <w:t xml:space="preserve">法定代表人或其委托代理人(签字)：       </w:t>
      </w:r>
    </w:p>
    <w:p w14:paraId="63D51649">
      <w:pPr>
        <w:spacing w:line="480" w:lineRule="exact"/>
        <w:rPr>
          <w:rFonts w:ascii="宋体" w:hAnsi="宋体" w:cs="宋体"/>
          <w:color w:val="auto"/>
          <w:highlight w:val="none"/>
        </w:rPr>
      </w:pPr>
      <w:r>
        <w:rPr>
          <w:rFonts w:hint="eastAsia" w:ascii="宋体" w:hAnsi="宋体" w:cs="宋体"/>
          <w:color w:val="auto"/>
          <w:highlight w:val="none"/>
        </w:rPr>
        <w:t xml:space="preserve">      </w:t>
      </w:r>
    </w:p>
    <w:p w14:paraId="00B25E49">
      <w:pPr>
        <w:spacing w:line="480" w:lineRule="exact"/>
        <w:rPr>
          <w:rFonts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4906BA12">
      <w:pPr>
        <w:adjustRightInd w:val="0"/>
        <w:snapToGrid w:val="0"/>
        <w:spacing w:line="280" w:lineRule="exact"/>
        <w:ind w:right="420"/>
        <w:rPr>
          <w:rFonts w:ascii="微软雅黑" w:hAnsi="微软雅黑" w:eastAsia="微软雅黑"/>
          <w:color w:val="auto"/>
          <w:szCs w:val="21"/>
          <w:highlight w:val="none"/>
        </w:rPr>
      </w:pPr>
    </w:p>
    <w:p w14:paraId="5AE754B3">
      <w:pPr>
        <w:adjustRightInd w:val="0"/>
        <w:snapToGrid w:val="0"/>
        <w:spacing w:line="280" w:lineRule="exact"/>
        <w:ind w:right="420"/>
        <w:rPr>
          <w:rFonts w:ascii="微软雅黑" w:hAnsi="微软雅黑" w:eastAsia="微软雅黑"/>
          <w:color w:val="auto"/>
          <w:szCs w:val="21"/>
          <w:highlight w:val="none"/>
        </w:rPr>
      </w:pPr>
    </w:p>
    <w:p w14:paraId="691C751D">
      <w:pPr>
        <w:adjustRightInd w:val="0"/>
        <w:snapToGrid w:val="0"/>
        <w:spacing w:line="280" w:lineRule="exact"/>
        <w:ind w:right="420"/>
        <w:rPr>
          <w:rFonts w:ascii="微软雅黑" w:hAnsi="微软雅黑" w:eastAsia="微软雅黑"/>
          <w:color w:val="auto"/>
          <w:szCs w:val="21"/>
          <w:highlight w:val="none"/>
        </w:rPr>
      </w:pPr>
    </w:p>
    <w:p w14:paraId="3B0C2C13">
      <w:pPr>
        <w:adjustRightInd w:val="0"/>
        <w:snapToGrid w:val="0"/>
        <w:spacing w:line="280" w:lineRule="exact"/>
        <w:ind w:right="420"/>
        <w:rPr>
          <w:rFonts w:ascii="微软雅黑" w:hAnsi="微软雅黑" w:eastAsia="微软雅黑"/>
          <w:color w:val="auto"/>
          <w:szCs w:val="21"/>
          <w:highlight w:val="none"/>
        </w:rPr>
      </w:pPr>
    </w:p>
    <w:p w14:paraId="563660DC">
      <w:pPr>
        <w:adjustRightInd w:val="0"/>
        <w:snapToGrid w:val="0"/>
        <w:spacing w:line="280" w:lineRule="exact"/>
        <w:ind w:right="420"/>
        <w:rPr>
          <w:rFonts w:ascii="微软雅黑" w:hAnsi="微软雅黑" w:eastAsia="微软雅黑"/>
          <w:color w:val="auto"/>
          <w:szCs w:val="21"/>
          <w:highlight w:val="none"/>
        </w:rPr>
      </w:pPr>
    </w:p>
    <w:p w14:paraId="70B73611">
      <w:pPr>
        <w:adjustRightInd w:val="0"/>
        <w:snapToGrid w:val="0"/>
        <w:spacing w:line="280" w:lineRule="exact"/>
        <w:ind w:right="420"/>
        <w:rPr>
          <w:rFonts w:ascii="微软雅黑" w:hAnsi="微软雅黑" w:eastAsia="微软雅黑"/>
          <w:color w:val="auto"/>
          <w:szCs w:val="21"/>
          <w:highlight w:val="none"/>
        </w:rPr>
      </w:pPr>
    </w:p>
    <w:p w14:paraId="702EF225">
      <w:pPr>
        <w:adjustRightInd w:val="0"/>
        <w:snapToGrid w:val="0"/>
        <w:spacing w:line="280" w:lineRule="exact"/>
        <w:ind w:right="420"/>
        <w:rPr>
          <w:rFonts w:ascii="微软雅黑" w:hAnsi="微软雅黑" w:eastAsia="微软雅黑"/>
          <w:color w:val="auto"/>
          <w:szCs w:val="21"/>
          <w:highlight w:val="none"/>
        </w:rPr>
      </w:pPr>
    </w:p>
    <w:p w14:paraId="036C376F">
      <w:pPr>
        <w:adjustRightInd w:val="0"/>
        <w:snapToGrid w:val="0"/>
        <w:spacing w:line="280" w:lineRule="exact"/>
        <w:ind w:right="420"/>
        <w:rPr>
          <w:rFonts w:ascii="微软雅黑" w:hAnsi="微软雅黑" w:eastAsia="微软雅黑"/>
          <w:color w:val="auto"/>
          <w:szCs w:val="21"/>
          <w:highlight w:val="none"/>
        </w:rPr>
      </w:pPr>
    </w:p>
    <w:p w14:paraId="44D3F06A">
      <w:pPr>
        <w:adjustRightInd w:val="0"/>
        <w:snapToGrid w:val="0"/>
        <w:spacing w:line="280" w:lineRule="exact"/>
        <w:ind w:right="420"/>
        <w:rPr>
          <w:rFonts w:ascii="微软雅黑" w:hAnsi="微软雅黑" w:eastAsia="微软雅黑"/>
          <w:color w:val="auto"/>
          <w:szCs w:val="21"/>
          <w:highlight w:val="none"/>
        </w:rPr>
      </w:pPr>
    </w:p>
    <w:p w14:paraId="35D5EE85">
      <w:pPr>
        <w:adjustRightInd w:val="0"/>
        <w:snapToGrid w:val="0"/>
        <w:spacing w:line="280" w:lineRule="exact"/>
        <w:ind w:right="420"/>
        <w:rPr>
          <w:rFonts w:ascii="微软雅黑" w:hAnsi="微软雅黑" w:eastAsia="微软雅黑"/>
          <w:color w:val="auto"/>
          <w:szCs w:val="21"/>
          <w:highlight w:val="none"/>
        </w:rPr>
      </w:pPr>
    </w:p>
    <w:p w14:paraId="748DAC21">
      <w:pPr>
        <w:adjustRightInd w:val="0"/>
        <w:snapToGrid w:val="0"/>
        <w:spacing w:line="280" w:lineRule="exact"/>
        <w:ind w:right="420"/>
        <w:rPr>
          <w:rFonts w:ascii="微软雅黑" w:hAnsi="微软雅黑" w:eastAsia="微软雅黑"/>
          <w:color w:val="auto"/>
          <w:szCs w:val="21"/>
          <w:highlight w:val="none"/>
        </w:rPr>
      </w:pPr>
    </w:p>
    <w:p w14:paraId="130F3494">
      <w:pPr>
        <w:adjustRightInd w:val="0"/>
        <w:snapToGrid w:val="0"/>
        <w:spacing w:line="280" w:lineRule="exact"/>
        <w:ind w:right="420"/>
        <w:rPr>
          <w:rFonts w:ascii="微软雅黑" w:hAnsi="微软雅黑" w:eastAsia="微软雅黑"/>
          <w:color w:val="auto"/>
          <w:szCs w:val="21"/>
          <w:highlight w:val="none"/>
        </w:rPr>
      </w:pPr>
    </w:p>
    <w:p w14:paraId="0A614D4A">
      <w:pPr>
        <w:adjustRightInd w:val="0"/>
        <w:snapToGrid w:val="0"/>
        <w:spacing w:line="280" w:lineRule="exact"/>
        <w:ind w:right="420"/>
        <w:rPr>
          <w:rFonts w:ascii="微软雅黑" w:hAnsi="微软雅黑" w:eastAsia="微软雅黑"/>
          <w:color w:val="auto"/>
          <w:szCs w:val="21"/>
          <w:highlight w:val="none"/>
        </w:rPr>
      </w:pPr>
    </w:p>
    <w:p w14:paraId="1F38A598">
      <w:pPr>
        <w:adjustRightInd w:val="0"/>
        <w:snapToGrid w:val="0"/>
        <w:spacing w:line="280" w:lineRule="exact"/>
        <w:ind w:right="420"/>
        <w:rPr>
          <w:rFonts w:ascii="微软雅黑" w:hAnsi="微软雅黑" w:eastAsia="微软雅黑"/>
          <w:color w:val="auto"/>
          <w:szCs w:val="21"/>
          <w:highlight w:val="none"/>
        </w:rPr>
      </w:pPr>
    </w:p>
    <w:p w14:paraId="0BEFAB49">
      <w:pPr>
        <w:adjustRightInd w:val="0"/>
        <w:snapToGrid w:val="0"/>
        <w:spacing w:line="280" w:lineRule="exact"/>
        <w:ind w:right="420"/>
        <w:rPr>
          <w:rFonts w:ascii="微软雅黑" w:hAnsi="微软雅黑" w:eastAsia="微软雅黑"/>
          <w:color w:val="auto"/>
          <w:szCs w:val="21"/>
          <w:highlight w:val="none"/>
        </w:rPr>
      </w:pPr>
    </w:p>
    <w:p w14:paraId="1EFD33B7">
      <w:pPr>
        <w:adjustRightInd w:val="0"/>
        <w:snapToGrid w:val="0"/>
        <w:spacing w:line="280" w:lineRule="exact"/>
        <w:ind w:right="420"/>
        <w:rPr>
          <w:rFonts w:ascii="微软雅黑" w:hAnsi="微软雅黑" w:eastAsia="微软雅黑"/>
          <w:color w:val="auto"/>
          <w:szCs w:val="21"/>
          <w:highlight w:val="none"/>
        </w:rPr>
      </w:pPr>
    </w:p>
    <w:p w14:paraId="17E503B0">
      <w:pPr>
        <w:pStyle w:val="58"/>
        <w:ind w:firstLine="420"/>
        <w:rPr>
          <w:color w:val="auto"/>
          <w:highlight w:val="none"/>
        </w:rPr>
      </w:pPr>
    </w:p>
    <w:p w14:paraId="4C4B7CB1">
      <w:pPr>
        <w:spacing w:line="360" w:lineRule="atLeast"/>
        <w:jc w:val="left"/>
        <w:rPr>
          <w:rFonts w:ascii="黑体" w:eastAsia="黑体"/>
          <w:color w:val="auto"/>
          <w:sz w:val="24"/>
          <w:highlight w:val="none"/>
        </w:rPr>
      </w:pPr>
      <w:r>
        <w:rPr>
          <w:rFonts w:hint="eastAsia" w:ascii="黑体" w:eastAsia="黑体"/>
          <w:color w:val="auto"/>
          <w:sz w:val="24"/>
          <w:highlight w:val="none"/>
        </w:rPr>
        <w:t>附件</w:t>
      </w:r>
      <w:r>
        <w:rPr>
          <w:rFonts w:hint="eastAsia" w:ascii="黑体" w:eastAsia="黑体"/>
          <w:color w:val="auto"/>
          <w:sz w:val="24"/>
          <w:highlight w:val="none"/>
          <w:lang w:val="en-US" w:eastAsia="zh-CN"/>
        </w:rPr>
        <w:t>5</w:t>
      </w:r>
      <w:r>
        <w:rPr>
          <w:rFonts w:hint="eastAsia" w:ascii="黑体" w:eastAsia="黑体"/>
          <w:color w:val="auto"/>
          <w:sz w:val="24"/>
          <w:highlight w:val="none"/>
        </w:rPr>
        <w:t>-3：主要人员简历表</w:t>
      </w:r>
      <w:bookmarkEnd w:id="38"/>
    </w:p>
    <w:p w14:paraId="200CD908">
      <w:pPr>
        <w:spacing w:line="360" w:lineRule="atLeast"/>
        <w:jc w:val="center"/>
        <w:rPr>
          <w:rFonts w:ascii="宋体"/>
          <w:color w:val="auto"/>
          <w:sz w:val="28"/>
          <w:szCs w:val="28"/>
          <w:highlight w:val="none"/>
        </w:rPr>
      </w:pPr>
      <w:r>
        <w:rPr>
          <w:rFonts w:hint="eastAsia" w:ascii="黑体" w:eastAsia="黑体"/>
          <w:color w:val="auto"/>
          <w:sz w:val="30"/>
          <w:szCs w:val="30"/>
          <w:highlight w:val="none"/>
        </w:rPr>
        <w:t>主要人员简历表</w:t>
      </w:r>
    </w:p>
    <w:tbl>
      <w:tblPr>
        <w:tblStyle w:val="20"/>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59"/>
        <w:gridCol w:w="833"/>
        <w:gridCol w:w="2663"/>
        <w:gridCol w:w="427"/>
        <w:gridCol w:w="1515"/>
        <w:gridCol w:w="583"/>
        <w:gridCol w:w="1795"/>
      </w:tblGrid>
      <w:tr w14:paraId="4F65ED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91" w:hRule="exact"/>
          <w:jc w:val="center"/>
        </w:trPr>
        <w:tc>
          <w:tcPr>
            <w:tcW w:w="2192" w:type="dxa"/>
            <w:gridSpan w:val="2"/>
            <w:vAlign w:val="center"/>
          </w:tcPr>
          <w:p w14:paraId="08AD1447">
            <w:pPr>
              <w:spacing w:line="360" w:lineRule="atLeast"/>
              <w:jc w:val="center"/>
              <w:rPr>
                <w:rFonts w:ascii="宋体" w:hAnsi="宋体" w:cs="宋体"/>
                <w:color w:val="auto"/>
                <w:highlight w:val="none"/>
              </w:rPr>
            </w:pPr>
            <w:r>
              <w:rPr>
                <w:rFonts w:hint="eastAsia" w:ascii="宋体" w:hAnsi="宋体" w:cs="宋体"/>
                <w:color w:val="auto"/>
                <w:highlight w:val="none"/>
              </w:rPr>
              <w:t>姓   名</w:t>
            </w:r>
          </w:p>
        </w:tc>
        <w:tc>
          <w:tcPr>
            <w:tcW w:w="2663" w:type="dxa"/>
            <w:vAlign w:val="center"/>
          </w:tcPr>
          <w:p w14:paraId="0C87AE6D">
            <w:pPr>
              <w:spacing w:line="360" w:lineRule="atLeast"/>
              <w:jc w:val="center"/>
              <w:rPr>
                <w:rFonts w:ascii="宋体" w:hAnsi="宋体" w:cs="宋体"/>
                <w:color w:val="auto"/>
                <w:highlight w:val="none"/>
              </w:rPr>
            </w:pPr>
          </w:p>
        </w:tc>
        <w:tc>
          <w:tcPr>
            <w:tcW w:w="2525" w:type="dxa"/>
            <w:gridSpan w:val="3"/>
            <w:vAlign w:val="center"/>
          </w:tcPr>
          <w:p w14:paraId="4360BBA4">
            <w:pPr>
              <w:spacing w:line="360" w:lineRule="atLeast"/>
              <w:jc w:val="center"/>
              <w:rPr>
                <w:rFonts w:ascii="宋体" w:hAnsi="宋体" w:cs="宋体"/>
                <w:color w:val="auto"/>
                <w:highlight w:val="none"/>
              </w:rPr>
            </w:pPr>
            <w:r>
              <w:rPr>
                <w:rFonts w:hint="eastAsia" w:ascii="宋体" w:hAnsi="宋体" w:cs="宋体"/>
                <w:color w:val="auto"/>
                <w:highlight w:val="none"/>
              </w:rPr>
              <w:t>性  别</w:t>
            </w:r>
          </w:p>
        </w:tc>
        <w:tc>
          <w:tcPr>
            <w:tcW w:w="1795" w:type="dxa"/>
            <w:vAlign w:val="center"/>
          </w:tcPr>
          <w:p w14:paraId="7E92846F">
            <w:pPr>
              <w:spacing w:line="360" w:lineRule="atLeast"/>
              <w:jc w:val="center"/>
              <w:rPr>
                <w:rFonts w:ascii="宋体" w:hAnsi="宋体" w:cs="宋体"/>
                <w:color w:val="auto"/>
                <w:highlight w:val="none"/>
              </w:rPr>
            </w:pPr>
          </w:p>
        </w:tc>
      </w:tr>
      <w:tr w14:paraId="158699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13" w:hRule="exact"/>
          <w:jc w:val="center"/>
        </w:trPr>
        <w:tc>
          <w:tcPr>
            <w:tcW w:w="2192" w:type="dxa"/>
            <w:gridSpan w:val="2"/>
            <w:vAlign w:val="center"/>
          </w:tcPr>
          <w:p w14:paraId="33B7C7AA">
            <w:pPr>
              <w:spacing w:line="360" w:lineRule="atLeast"/>
              <w:jc w:val="center"/>
              <w:rPr>
                <w:rFonts w:ascii="宋体" w:hAnsi="宋体" w:cs="宋体"/>
                <w:color w:val="auto"/>
                <w:highlight w:val="none"/>
              </w:rPr>
            </w:pPr>
            <w:r>
              <w:rPr>
                <w:rFonts w:hint="eastAsia" w:ascii="宋体" w:hAnsi="宋体" w:cs="宋体"/>
                <w:color w:val="auto"/>
                <w:highlight w:val="none"/>
              </w:rPr>
              <w:t>职   务</w:t>
            </w:r>
          </w:p>
        </w:tc>
        <w:tc>
          <w:tcPr>
            <w:tcW w:w="2663" w:type="dxa"/>
            <w:vAlign w:val="center"/>
          </w:tcPr>
          <w:p w14:paraId="714295BE">
            <w:pPr>
              <w:spacing w:line="360" w:lineRule="atLeast"/>
              <w:jc w:val="center"/>
              <w:rPr>
                <w:rFonts w:ascii="宋体" w:hAnsi="宋体" w:cs="宋体"/>
                <w:color w:val="auto"/>
                <w:highlight w:val="none"/>
              </w:rPr>
            </w:pPr>
          </w:p>
        </w:tc>
        <w:tc>
          <w:tcPr>
            <w:tcW w:w="2525" w:type="dxa"/>
            <w:gridSpan w:val="3"/>
            <w:vAlign w:val="center"/>
          </w:tcPr>
          <w:p w14:paraId="2DE79296">
            <w:pPr>
              <w:spacing w:line="360" w:lineRule="atLeast"/>
              <w:jc w:val="center"/>
              <w:rPr>
                <w:rFonts w:ascii="宋体" w:hAnsi="宋体" w:cs="宋体"/>
                <w:color w:val="auto"/>
                <w:highlight w:val="none"/>
              </w:rPr>
            </w:pPr>
            <w:r>
              <w:rPr>
                <w:rFonts w:hint="eastAsia" w:ascii="宋体" w:hAnsi="宋体" w:cs="宋体"/>
                <w:color w:val="auto"/>
                <w:highlight w:val="none"/>
              </w:rPr>
              <w:t>职  称</w:t>
            </w:r>
          </w:p>
        </w:tc>
        <w:tc>
          <w:tcPr>
            <w:tcW w:w="1795" w:type="dxa"/>
            <w:vAlign w:val="center"/>
          </w:tcPr>
          <w:p w14:paraId="13E74532">
            <w:pPr>
              <w:spacing w:line="360" w:lineRule="atLeast"/>
              <w:jc w:val="center"/>
              <w:rPr>
                <w:rFonts w:ascii="宋体" w:hAnsi="宋体" w:cs="宋体"/>
                <w:color w:val="auto"/>
                <w:highlight w:val="none"/>
              </w:rPr>
            </w:pPr>
          </w:p>
        </w:tc>
      </w:tr>
      <w:tr w14:paraId="52668F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21" w:hRule="exact"/>
          <w:jc w:val="center"/>
        </w:trPr>
        <w:tc>
          <w:tcPr>
            <w:tcW w:w="2192" w:type="dxa"/>
            <w:gridSpan w:val="2"/>
            <w:vAlign w:val="center"/>
          </w:tcPr>
          <w:p w14:paraId="56D6F7E9">
            <w:pPr>
              <w:spacing w:line="360" w:lineRule="atLeast"/>
              <w:jc w:val="center"/>
              <w:rPr>
                <w:rFonts w:ascii="宋体" w:hAnsi="宋体" w:cs="宋体"/>
                <w:color w:val="auto"/>
                <w:highlight w:val="none"/>
              </w:rPr>
            </w:pPr>
            <w:r>
              <w:rPr>
                <w:rFonts w:hint="eastAsia" w:ascii="宋体" w:hAnsi="宋体" w:cs="宋体"/>
                <w:color w:val="auto"/>
                <w:highlight w:val="none"/>
              </w:rPr>
              <w:t>毕业学校、专业</w:t>
            </w:r>
          </w:p>
        </w:tc>
        <w:tc>
          <w:tcPr>
            <w:tcW w:w="6983" w:type="dxa"/>
            <w:gridSpan w:val="5"/>
            <w:vAlign w:val="center"/>
          </w:tcPr>
          <w:p w14:paraId="0D11B597">
            <w:pPr>
              <w:spacing w:line="360" w:lineRule="atLeast"/>
              <w:jc w:val="center"/>
              <w:rPr>
                <w:rFonts w:ascii="宋体" w:hAnsi="宋体" w:cs="宋体"/>
                <w:color w:val="auto"/>
                <w:highlight w:val="none"/>
              </w:rPr>
            </w:pPr>
          </w:p>
        </w:tc>
      </w:tr>
      <w:tr w14:paraId="54D01B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71" w:hRule="exact"/>
          <w:jc w:val="center"/>
        </w:trPr>
        <w:tc>
          <w:tcPr>
            <w:tcW w:w="2192" w:type="dxa"/>
            <w:gridSpan w:val="2"/>
            <w:vAlign w:val="center"/>
          </w:tcPr>
          <w:p w14:paraId="45BF43DA">
            <w:pPr>
              <w:spacing w:line="360" w:lineRule="atLeast"/>
              <w:jc w:val="center"/>
              <w:rPr>
                <w:rFonts w:ascii="宋体" w:hAnsi="宋体" w:cs="宋体"/>
                <w:color w:val="auto"/>
                <w:highlight w:val="none"/>
              </w:rPr>
            </w:pPr>
            <w:r>
              <w:rPr>
                <w:rFonts w:hint="eastAsia" w:ascii="宋体" w:hAnsi="宋体" w:cs="宋体"/>
                <w:color w:val="auto"/>
                <w:highlight w:val="none"/>
              </w:rPr>
              <w:t>身份证号</w:t>
            </w:r>
          </w:p>
        </w:tc>
        <w:tc>
          <w:tcPr>
            <w:tcW w:w="2663" w:type="dxa"/>
            <w:vAlign w:val="center"/>
          </w:tcPr>
          <w:p w14:paraId="6B0A8674">
            <w:pPr>
              <w:spacing w:line="360" w:lineRule="atLeast"/>
              <w:jc w:val="center"/>
              <w:rPr>
                <w:rFonts w:ascii="宋体" w:hAnsi="宋体" w:cs="宋体"/>
                <w:color w:val="auto"/>
                <w:highlight w:val="none"/>
              </w:rPr>
            </w:pPr>
          </w:p>
        </w:tc>
        <w:tc>
          <w:tcPr>
            <w:tcW w:w="2525" w:type="dxa"/>
            <w:gridSpan w:val="3"/>
            <w:vAlign w:val="center"/>
          </w:tcPr>
          <w:p w14:paraId="416660F2">
            <w:pPr>
              <w:spacing w:line="360" w:lineRule="atLeast"/>
              <w:jc w:val="center"/>
              <w:rPr>
                <w:rFonts w:ascii="宋体" w:hAnsi="宋体" w:cs="宋体"/>
                <w:color w:val="auto"/>
                <w:highlight w:val="none"/>
              </w:rPr>
            </w:pPr>
            <w:r>
              <w:rPr>
                <w:rFonts w:hint="eastAsia" w:ascii="宋体" w:hAnsi="宋体" w:cs="宋体"/>
                <w:color w:val="auto"/>
                <w:highlight w:val="none"/>
              </w:rPr>
              <w:t>拟在本合同任职</w:t>
            </w:r>
          </w:p>
        </w:tc>
        <w:tc>
          <w:tcPr>
            <w:tcW w:w="1795" w:type="dxa"/>
            <w:vAlign w:val="center"/>
          </w:tcPr>
          <w:p w14:paraId="433A9FEC">
            <w:pPr>
              <w:spacing w:line="360" w:lineRule="atLeast"/>
              <w:ind w:right="-105" w:rightChars="-50"/>
              <w:jc w:val="center"/>
              <w:rPr>
                <w:rFonts w:ascii="宋体" w:hAnsi="宋体" w:cs="宋体"/>
                <w:color w:val="auto"/>
                <w:highlight w:val="none"/>
              </w:rPr>
            </w:pPr>
          </w:p>
        </w:tc>
      </w:tr>
      <w:tr w14:paraId="4F614A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71" w:hRule="exact"/>
          <w:jc w:val="center"/>
        </w:trPr>
        <w:tc>
          <w:tcPr>
            <w:tcW w:w="2192" w:type="dxa"/>
            <w:gridSpan w:val="2"/>
            <w:vAlign w:val="center"/>
          </w:tcPr>
          <w:p w14:paraId="3DCFAAE1">
            <w:pPr>
              <w:spacing w:line="360" w:lineRule="atLeast"/>
              <w:jc w:val="center"/>
              <w:rPr>
                <w:rFonts w:ascii="宋体" w:hAnsi="宋体" w:cs="宋体"/>
                <w:color w:val="auto"/>
                <w:highlight w:val="none"/>
              </w:rPr>
            </w:pPr>
            <w:r>
              <w:rPr>
                <w:rFonts w:hint="eastAsia" w:ascii="宋体" w:hAnsi="宋体" w:cs="宋体"/>
                <w:color w:val="auto"/>
                <w:highlight w:val="none"/>
              </w:rPr>
              <w:t>执业资格证</w:t>
            </w:r>
          </w:p>
        </w:tc>
        <w:tc>
          <w:tcPr>
            <w:tcW w:w="2663" w:type="dxa"/>
            <w:vAlign w:val="center"/>
          </w:tcPr>
          <w:p w14:paraId="61709F43">
            <w:pPr>
              <w:spacing w:line="360" w:lineRule="atLeast"/>
              <w:jc w:val="center"/>
              <w:rPr>
                <w:rFonts w:ascii="宋体" w:hAnsi="宋体" w:cs="宋体"/>
                <w:color w:val="auto"/>
                <w:highlight w:val="none"/>
              </w:rPr>
            </w:pPr>
          </w:p>
        </w:tc>
        <w:tc>
          <w:tcPr>
            <w:tcW w:w="2525" w:type="dxa"/>
            <w:gridSpan w:val="3"/>
            <w:vAlign w:val="center"/>
          </w:tcPr>
          <w:p w14:paraId="3F2D82D3">
            <w:pPr>
              <w:spacing w:line="360" w:lineRule="atLeast"/>
              <w:jc w:val="center"/>
              <w:rPr>
                <w:rFonts w:ascii="宋体" w:hAnsi="宋体" w:cs="宋体"/>
                <w:color w:val="auto"/>
                <w:highlight w:val="none"/>
              </w:rPr>
            </w:pPr>
            <w:r>
              <w:rPr>
                <w:rFonts w:hint="eastAsia" w:ascii="宋体" w:hAnsi="宋体" w:cs="宋体"/>
                <w:color w:val="auto"/>
                <w:highlight w:val="none"/>
              </w:rPr>
              <w:t>执业资格证书号</w:t>
            </w:r>
          </w:p>
        </w:tc>
        <w:tc>
          <w:tcPr>
            <w:tcW w:w="1795" w:type="dxa"/>
            <w:vAlign w:val="center"/>
          </w:tcPr>
          <w:p w14:paraId="14EFF00B">
            <w:pPr>
              <w:spacing w:line="360" w:lineRule="atLeast"/>
              <w:ind w:right="-105" w:rightChars="-50"/>
              <w:jc w:val="center"/>
              <w:rPr>
                <w:rFonts w:ascii="宋体" w:hAnsi="宋体" w:cs="宋体"/>
                <w:color w:val="auto"/>
                <w:highlight w:val="none"/>
              </w:rPr>
            </w:pPr>
          </w:p>
        </w:tc>
      </w:tr>
      <w:tr w14:paraId="77AD37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00" w:hRule="exact"/>
          <w:jc w:val="center"/>
        </w:trPr>
        <w:tc>
          <w:tcPr>
            <w:tcW w:w="9175" w:type="dxa"/>
            <w:gridSpan w:val="7"/>
            <w:vAlign w:val="center"/>
          </w:tcPr>
          <w:p w14:paraId="4AB892B0">
            <w:pPr>
              <w:spacing w:line="360" w:lineRule="atLeast"/>
              <w:rPr>
                <w:rFonts w:ascii="宋体" w:hAnsi="宋体" w:cs="宋体"/>
                <w:color w:val="auto"/>
                <w:highlight w:val="none"/>
              </w:rPr>
            </w:pPr>
            <w:r>
              <w:rPr>
                <w:rFonts w:hint="eastAsia" w:ascii="宋体" w:hAnsi="宋体" w:cs="宋体"/>
                <w:color w:val="auto"/>
                <w:highlight w:val="none"/>
              </w:rPr>
              <w:t>近三年承担项目情况</w:t>
            </w:r>
          </w:p>
        </w:tc>
      </w:tr>
      <w:tr w14:paraId="544E24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359" w:type="dxa"/>
            <w:vAlign w:val="center"/>
          </w:tcPr>
          <w:p w14:paraId="60FFF45F">
            <w:pPr>
              <w:spacing w:line="360" w:lineRule="atLeast"/>
              <w:jc w:val="center"/>
              <w:rPr>
                <w:rFonts w:ascii="宋体" w:hAnsi="宋体" w:cs="宋体"/>
                <w:color w:val="auto"/>
                <w:highlight w:val="none"/>
              </w:rPr>
            </w:pPr>
            <w:r>
              <w:rPr>
                <w:rFonts w:hint="eastAsia" w:ascii="宋体" w:hAnsi="宋体" w:cs="宋体"/>
                <w:color w:val="auto"/>
                <w:highlight w:val="none"/>
              </w:rPr>
              <w:t>时间</w:t>
            </w:r>
          </w:p>
        </w:tc>
        <w:tc>
          <w:tcPr>
            <w:tcW w:w="3923" w:type="dxa"/>
            <w:gridSpan w:val="3"/>
            <w:vAlign w:val="center"/>
          </w:tcPr>
          <w:p w14:paraId="168DC470">
            <w:pPr>
              <w:spacing w:line="360" w:lineRule="atLeast"/>
              <w:jc w:val="center"/>
              <w:rPr>
                <w:rFonts w:ascii="宋体" w:hAnsi="宋体" w:cs="宋体"/>
                <w:color w:val="auto"/>
                <w:highlight w:val="none"/>
              </w:rPr>
            </w:pPr>
            <w:r>
              <w:rPr>
                <w:rFonts w:hint="eastAsia" w:ascii="宋体" w:hAnsi="宋体" w:cs="宋体"/>
                <w:color w:val="auto"/>
                <w:highlight w:val="none"/>
              </w:rPr>
              <w:t>类似项目名称</w:t>
            </w:r>
          </w:p>
        </w:tc>
        <w:tc>
          <w:tcPr>
            <w:tcW w:w="1515" w:type="dxa"/>
            <w:vAlign w:val="center"/>
          </w:tcPr>
          <w:p w14:paraId="6D91E130">
            <w:pPr>
              <w:spacing w:line="360" w:lineRule="atLeast"/>
              <w:jc w:val="center"/>
              <w:rPr>
                <w:rFonts w:ascii="宋体" w:hAnsi="宋体" w:cs="宋体"/>
                <w:color w:val="auto"/>
                <w:highlight w:val="none"/>
              </w:rPr>
            </w:pPr>
            <w:r>
              <w:rPr>
                <w:rFonts w:hint="eastAsia" w:ascii="宋体" w:hAnsi="宋体" w:cs="宋体"/>
                <w:color w:val="auto"/>
                <w:highlight w:val="none"/>
              </w:rPr>
              <w:t>担任职务</w:t>
            </w:r>
          </w:p>
        </w:tc>
        <w:tc>
          <w:tcPr>
            <w:tcW w:w="2378" w:type="dxa"/>
            <w:gridSpan w:val="2"/>
            <w:vAlign w:val="center"/>
          </w:tcPr>
          <w:p w14:paraId="72ABDF76">
            <w:pPr>
              <w:spacing w:line="360" w:lineRule="atLeast"/>
              <w:jc w:val="center"/>
              <w:rPr>
                <w:rFonts w:ascii="宋体" w:hAnsi="宋体" w:cs="宋体"/>
                <w:color w:val="auto"/>
                <w:highlight w:val="none"/>
              </w:rPr>
            </w:pPr>
            <w:r>
              <w:rPr>
                <w:rFonts w:hint="eastAsia" w:ascii="宋体" w:hAnsi="宋体" w:cs="宋体"/>
                <w:color w:val="auto"/>
                <w:highlight w:val="none"/>
              </w:rPr>
              <w:t>项目单位名称及电话</w:t>
            </w:r>
          </w:p>
        </w:tc>
      </w:tr>
      <w:tr w14:paraId="091CA4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359" w:type="dxa"/>
            <w:vAlign w:val="center"/>
          </w:tcPr>
          <w:p w14:paraId="36A3A551">
            <w:pPr>
              <w:spacing w:line="360" w:lineRule="atLeast"/>
              <w:jc w:val="center"/>
              <w:rPr>
                <w:rFonts w:ascii="宋体" w:hAnsi="宋体" w:cs="宋体"/>
                <w:color w:val="auto"/>
                <w:highlight w:val="none"/>
              </w:rPr>
            </w:pPr>
          </w:p>
        </w:tc>
        <w:tc>
          <w:tcPr>
            <w:tcW w:w="3923" w:type="dxa"/>
            <w:gridSpan w:val="3"/>
            <w:vAlign w:val="center"/>
          </w:tcPr>
          <w:p w14:paraId="740FD8D9">
            <w:pPr>
              <w:spacing w:line="360" w:lineRule="atLeast"/>
              <w:jc w:val="center"/>
              <w:rPr>
                <w:rFonts w:ascii="宋体" w:hAnsi="宋体" w:cs="宋体"/>
                <w:color w:val="auto"/>
                <w:highlight w:val="none"/>
              </w:rPr>
            </w:pPr>
          </w:p>
        </w:tc>
        <w:tc>
          <w:tcPr>
            <w:tcW w:w="1515" w:type="dxa"/>
            <w:vAlign w:val="center"/>
          </w:tcPr>
          <w:p w14:paraId="4655E5A9">
            <w:pPr>
              <w:spacing w:line="360" w:lineRule="atLeast"/>
              <w:jc w:val="center"/>
              <w:rPr>
                <w:rFonts w:ascii="宋体" w:hAnsi="宋体" w:cs="宋体"/>
                <w:color w:val="auto"/>
                <w:highlight w:val="none"/>
              </w:rPr>
            </w:pPr>
          </w:p>
        </w:tc>
        <w:tc>
          <w:tcPr>
            <w:tcW w:w="2378" w:type="dxa"/>
            <w:gridSpan w:val="2"/>
            <w:vAlign w:val="center"/>
          </w:tcPr>
          <w:p w14:paraId="2AF57760">
            <w:pPr>
              <w:spacing w:line="360" w:lineRule="atLeast"/>
              <w:jc w:val="center"/>
              <w:rPr>
                <w:rFonts w:ascii="宋体" w:hAnsi="宋体" w:cs="宋体"/>
                <w:color w:val="auto"/>
                <w:highlight w:val="none"/>
              </w:rPr>
            </w:pPr>
          </w:p>
        </w:tc>
      </w:tr>
      <w:tr w14:paraId="0F3CD6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359" w:type="dxa"/>
            <w:vAlign w:val="center"/>
          </w:tcPr>
          <w:p w14:paraId="633D0172">
            <w:pPr>
              <w:spacing w:line="360" w:lineRule="atLeast"/>
              <w:jc w:val="center"/>
              <w:rPr>
                <w:rFonts w:ascii="宋体" w:hAnsi="宋体" w:cs="宋体"/>
                <w:color w:val="auto"/>
                <w:highlight w:val="none"/>
              </w:rPr>
            </w:pPr>
          </w:p>
        </w:tc>
        <w:tc>
          <w:tcPr>
            <w:tcW w:w="3923" w:type="dxa"/>
            <w:gridSpan w:val="3"/>
            <w:vAlign w:val="center"/>
          </w:tcPr>
          <w:p w14:paraId="0DC9284E">
            <w:pPr>
              <w:spacing w:line="360" w:lineRule="atLeast"/>
              <w:jc w:val="center"/>
              <w:rPr>
                <w:rFonts w:ascii="宋体" w:hAnsi="宋体" w:cs="宋体"/>
                <w:color w:val="auto"/>
                <w:highlight w:val="none"/>
              </w:rPr>
            </w:pPr>
          </w:p>
        </w:tc>
        <w:tc>
          <w:tcPr>
            <w:tcW w:w="1515" w:type="dxa"/>
            <w:vAlign w:val="center"/>
          </w:tcPr>
          <w:p w14:paraId="4A22C29B">
            <w:pPr>
              <w:spacing w:line="360" w:lineRule="atLeast"/>
              <w:jc w:val="center"/>
              <w:rPr>
                <w:rFonts w:ascii="宋体" w:hAnsi="宋体" w:cs="宋体"/>
                <w:color w:val="auto"/>
                <w:highlight w:val="none"/>
              </w:rPr>
            </w:pPr>
          </w:p>
        </w:tc>
        <w:tc>
          <w:tcPr>
            <w:tcW w:w="2378" w:type="dxa"/>
            <w:gridSpan w:val="2"/>
            <w:vAlign w:val="center"/>
          </w:tcPr>
          <w:p w14:paraId="4218E81F">
            <w:pPr>
              <w:spacing w:line="360" w:lineRule="atLeast"/>
              <w:jc w:val="center"/>
              <w:rPr>
                <w:rFonts w:ascii="宋体" w:hAnsi="宋体" w:cs="宋体"/>
                <w:color w:val="auto"/>
                <w:highlight w:val="none"/>
              </w:rPr>
            </w:pPr>
          </w:p>
        </w:tc>
      </w:tr>
      <w:tr w14:paraId="185619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359" w:type="dxa"/>
            <w:vAlign w:val="center"/>
          </w:tcPr>
          <w:p w14:paraId="25375E47">
            <w:pPr>
              <w:spacing w:line="360" w:lineRule="atLeast"/>
              <w:jc w:val="center"/>
              <w:rPr>
                <w:rFonts w:ascii="宋体" w:hAnsi="宋体" w:cs="宋体"/>
                <w:color w:val="auto"/>
                <w:highlight w:val="none"/>
              </w:rPr>
            </w:pPr>
          </w:p>
        </w:tc>
        <w:tc>
          <w:tcPr>
            <w:tcW w:w="3923" w:type="dxa"/>
            <w:gridSpan w:val="3"/>
            <w:vAlign w:val="center"/>
          </w:tcPr>
          <w:p w14:paraId="2965A941">
            <w:pPr>
              <w:spacing w:line="360" w:lineRule="atLeast"/>
              <w:jc w:val="center"/>
              <w:rPr>
                <w:rFonts w:ascii="宋体" w:hAnsi="宋体" w:cs="宋体"/>
                <w:color w:val="auto"/>
                <w:highlight w:val="none"/>
              </w:rPr>
            </w:pPr>
          </w:p>
        </w:tc>
        <w:tc>
          <w:tcPr>
            <w:tcW w:w="1515" w:type="dxa"/>
            <w:vAlign w:val="center"/>
          </w:tcPr>
          <w:p w14:paraId="34341C81">
            <w:pPr>
              <w:spacing w:line="360" w:lineRule="atLeast"/>
              <w:jc w:val="center"/>
              <w:rPr>
                <w:rFonts w:ascii="宋体" w:hAnsi="宋体" w:cs="宋体"/>
                <w:color w:val="auto"/>
                <w:highlight w:val="none"/>
              </w:rPr>
            </w:pPr>
          </w:p>
        </w:tc>
        <w:tc>
          <w:tcPr>
            <w:tcW w:w="2378" w:type="dxa"/>
            <w:gridSpan w:val="2"/>
            <w:vAlign w:val="center"/>
          </w:tcPr>
          <w:p w14:paraId="1D0EE020">
            <w:pPr>
              <w:spacing w:line="360" w:lineRule="atLeast"/>
              <w:jc w:val="center"/>
              <w:rPr>
                <w:rFonts w:ascii="宋体" w:hAnsi="宋体" w:cs="宋体"/>
                <w:color w:val="auto"/>
                <w:highlight w:val="none"/>
              </w:rPr>
            </w:pPr>
          </w:p>
        </w:tc>
      </w:tr>
      <w:tr w14:paraId="6B0588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359" w:type="dxa"/>
            <w:vAlign w:val="center"/>
          </w:tcPr>
          <w:p w14:paraId="50E5032D">
            <w:pPr>
              <w:spacing w:line="360" w:lineRule="atLeast"/>
              <w:jc w:val="center"/>
              <w:rPr>
                <w:rFonts w:ascii="宋体" w:hAnsi="宋体" w:cs="宋体"/>
                <w:color w:val="auto"/>
                <w:highlight w:val="none"/>
              </w:rPr>
            </w:pPr>
          </w:p>
        </w:tc>
        <w:tc>
          <w:tcPr>
            <w:tcW w:w="3923" w:type="dxa"/>
            <w:gridSpan w:val="3"/>
            <w:vAlign w:val="center"/>
          </w:tcPr>
          <w:p w14:paraId="684A5D0E">
            <w:pPr>
              <w:spacing w:line="360" w:lineRule="atLeast"/>
              <w:jc w:val="center"/>
              <w:rPr>
                <w:rFonts w:ascii="宋体" w:hAnsi="宋体" w:cs="宋体"/>
                <w:color w:val="auto"/>
                <w:highlight w:val="none"/>
              </w:rPr>
            </w:pPr>
          </w:p>
        </w:tc>
        <w:tc>
          <w:tcPr>
            <w:tcW w:w="1515" w:type="dxa"/>
            <w:vAlign w:val="center"/>
          </w:tcPr>
          <w:p w14:paraId="56AD0301">
            <w:pPr>
              <w:spacing w:line="360" w:lineRule="atLeast"/>
              <w:jc w:val="center"/>
              <w:rPr>
                <w:rFonts w:ascii="宋体" w:hAnsi="宋体" w:cs="宋体"/>
                <w:color w:val="auto"/>
                <w:highlight w:val="none"/>
              </w:rPr>
            </w:pPr>
          </w:p>
        </w:tc>
        <w:tc>
          <w:tcPr>
            <w:tcW w:w="2378" w:type="dxa"/>
            <w:gridSpan w:val="2"/>
            <w:vAlign w:val="center"/>
          </w:tcPr>
          <w:p w14:paraId="2A9963D2">
            <w:pPr>
              <w:spacing w:line="360" w:lineRule="atLeast"/>
              <w:jc w:val="center"/>
              <w:rPr>
                <w:rFonts w:ascii="宋体" w:hAnsi="宋体" w:cs="宋体"/>
                <w:color w:val="auto"/>
                <w:highlight w:val="none"/>
              </w:rPr>
            </w:pPr>
          </w:p>
        </w:tc>
      </w:tr>
      <w:tr w14:paraId="36366D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359" w:type="dxa"/>
            <w:vAlign w:val="center"/>
          </w:tcPr>
          <w:p w14:paraId="40DC2443">
            <w:pPr>
              <w:spacing w:line="360" w:lineRule="atLeast"/>
              <w:jc w:val="center"/>
              <w:rPr>
                <w:rFonts w:ascii="宋体" w:hAnsi="宋体" w:cs="宋体"/>
                <w:color w:val="auto"/>
                <w:highlight w:val="none"/>
              </w:rPr>
            </w:pPr>
          </w:p>
        </w:tc>
        <w:tc>
          <w:tcPr>
            <w:tcW w:w="3923" w:type="dxa"/>
            <w:gridSpan w:val="3"/>
            <w:vAlign w:val="center"/>
          </w:tcPr>
          <w:p w14:paraId="74232170">
            <w:pPr>
              <w:spacing w:line="360" w:lineRule="atLeast"/>
              <w:jc w:val="center"/>
              <w:rPr>
                <w:rFonts w:ascii="宋体" w:hAnsi="宋体" w:cs="宋体"/>
                <w:color w:val="auto"/>
                <w:highlight w:val="none"/>
              </w:rPr>
            </w:pPr>
          </w:p>
        </w:tc>
        <w:tc>
          <w:tcPr>
            <w:tcW w:w="1515" w:type="dxa"/>
            <w:vAlign w:val="center"/>
          </w:tcPr>
          <w:p w14:paraId="3DD9B88F">
            <w:pPr>
              <w:spacing w:line="360" w:lineRule="atLeast"/>
              <w:jc w:val="center"/>
              <w:rPr>
                <w:rFonts w:ascii="宋体" w:hAnsi="宋体" w:cs="宋体"/>
                <w:color w:val="auto"/>
                <w:highlight w:val="none"/>
              </w:rPr>
            </w:pPr>
          </w:p>
        </w:tc>
        <w:tc>
          <w:tcPr>
            <w:tcW w:w="2378" w:type="dxa"/>
            <w:gridSpan w:val="2"/>
            <w:vAlign w:val="center"/>
          </w:tcPr>
          <w:p w14:paraId="3C4C8940">
            <w:pPr>
              <w:spacing w:line="360" w:lineRule="atLeast"/>
              <w:jc w:val="center"/>
              <w:rPr>
                <w:rFonts w:ascii="宋体" w:hAnsi="宋体" w:cs="宋体"/>
                <w:color w:val="auto"/>
                <w:highlight w:val="none"/>
              </w:rPr>
            </w:pPr>
          </w:p>
        </w:tc>
      </w:tr>
      <w:tr w14:paraId="2EB67D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359" w:type="dxa"/>
            <w:vAlign w:val="center"/>
          </w:tcPr>
          <w:p w14:paraId="31AFF088">
            <w:pPr>
              <w:spacing w:line="360" w:lineRule="atLeast"/>
              <w:jc w:val="center"/>
              <w:rPr>
                <w:rFonts w:ascii="宋体" w:hAnsi="宋体" w:cs="宋体"/>
                <w:color w:val="auto"/>
                <w:highlight w:val="none"/>
              </w:rPr>
            </w:pPr>
          </w:p>
        </w:tc>
        <w:tc>
          <w:tcPr>
            <w:tcW w:w="3923" w:type="dxa"/>
            <w:gridSpan w:val="3"/>
            <w:vAlign w:val="center"/>
          </w:tcPr>
          <w:p w14:paraId="24B5C33C">
            <w:pPr>
              <w:spacing w:line="360" w:lineRule="atLeast"/>
              <w:jc w:val="center"/>
              <w:rPr>
                <w:rFonts w:ascii="宋体" w:hAnsi="宋体" w:cs="宋体"/>
                <w:color w:val="auto"/>
                <w:highlight w:val="none"/>
              </w:rPr>
            </w:pPr>
          </w:p>
        </w:tc>
        <w:tc>
          <w:tcPr>
            <w:tcW w:w="1515" w:type="dxa"/>
            <w:vAlign w:val="center"/>
          </w:tcPr>
          <w:p w14:paraId="095F92EF">
            <w:pPr>
              <w:spacing w:line="360" w:lineRule="atLeast"/>
              <w:jc w:val="center"/>
              <w:rPr>
                <w:rFonts w:ascii="宋体" w:hAnsi="宋体" w:cs="宋体"/>
                <w:color w:val="auto"/>
                <w:highlight w:val="none"/>
              </w:rPr>
            </w:pPr>
          </w:p>
        </w:tc>
        <w:tc>
          <w:tcPr>
            <w:tcW w:w="2378" w:type="dxa"/>
            <w:gridSpan w:val="2"/>
            <w:vAlign w:val="center"/>
          </w:tcPr>
          <w:p w14:paraId="685E2248">
            <w:pPr>
              <w:spacing w:line="360" w:lineRule="atLeast"/>
              <w:jc w:val="center"/>
              <w:rPr>
                <w:rFonts w:ascii="宋体" w:hAnsi="宋体" w:cs="宋体"/>
                <w:color w:val="auto"/>
                <w:highlight w:val="none"/>
              </w:rPr>
            </w:pPr>
          </w:p>
        </w:tc>
      </w:tr>
      <w:tr w14:paraId="17815E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359" w:type="dxa"/>
            <w:vAlign w:val="center"/>
          </w:tcPr>
          <w:p w14:paraId="25CC3329">
            <w:pPr>
              <w:spacing w:line="360" w:lineRule="atLeast"/>
              <w:jc w:val="center"/>
              <w:rPr>
                <w:rFonts w:ascii="宋体" w:hAnsi="宋体" w:cs="宋体"/>
                <w:color w:val="auto"/>
                <w:highlight w:val="none"/>
              </w:rPr>
            </w:pPr>
          </w:p>
        </w:tc>
        <w:tc>
          <w:tcPr>
            <w:tcW w:w="3923" w:type="dxa"/>
            <w:gridSpan w:val="3"/>
            <w:vAlign w:val="center"/>
          </w:tcPr>
          <w:p w14:paraId="420F0399">
            <w:pPr>
              <w:spacing w:line="360" w:lineRule="atLeast"/>
              <w:jc w:val="center"/>
              <w:rPr>
                <w:rFonts w:ascii="宋体" w:hAnsi="宋体" w:cs="宋体"/>
                <w:color w:val="auto"/>
                <w:highlight w:val="none"/>
              </w:rPr>
            </w:pPr>
          </w:p>
        </w:tc>
        <w:tc>
          <w:tcPr>
            <w:tcW w:w="1515" w:type="dxa"/>
            <w:vAlign w:val="center"/>
          </w:tcPr>
          <w:p w14:paraId="3346B3AF">
            <w:pPr>
              <w:spacing w:line="360" w:lineRule="atLeast"/>
              <w:jc w:val="center"/>
              <w:rPr>
                <w:rFonts w:ascii="宋体" w:hAnsi="宋体" w:cs="宋体"/>
                <w:color w:val="auto"/>
                <w:highlight w:val="none"/>
              </w:rPr>
            </w:pPr>
          </w:p>
        </w:tc>
        <w:tc>
          <w:tcPr>
            <w:tcW w:w="2378" w:type="dxa"/>
            <w:gridSpan w:val="2"/>
            <w:vAlign w:val="center"/>
          </w:tcPr>
          <w:p w14:paraId="47D7B450">
            <w:pPr>
              <w:spacing w:line="360" w:lineRule="atLeast"/>
              <w:jc w:val="center"/>
              <w:rPr>
                <w:rFonts w:ascii="宋体" w:hAnsi="宋体" w:cs="宋体"/>
                <w:color w:val="auto"/>
                <w:highlight w:val="none"/>
              </w:rPr>
            </w:pPr>
          </w:p>
        </w:tc>
      </w:tr>
      <w:tr w14:paraId="189143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359" w:type="dxa"/>
            <w:vAlign w:val="center"/>
          </w:tcPr>
          <w:p w14:paraId="741DD004">
            <w:pPr>
              <w:spacing w:line="360" w:lineRule="atLeast"/>
              <w:jc w:val="center"/>
              <w:rPr>
                <w:rFonts w:ascii="宋体" w:hAnsi="宋体" w:cs="宋体"/>
                <w:color w:val="auto"/>
                <w:highlight w:val="none"/>
              </w:rPr>
            </w:pPr>
          </w:p>
        </w:tc>
        <w:tc>
          <w:tcPr>
            <w:tcW w:w="3923" w:type="dxa"/>
            <w:gridSpan w:val="3"/>
            <w:vAlign w:val="center"/>
          </w:tcPr>
          <w:p w14:paraId="2B84B81C">
            <w:pPr>
              <w:spacing w:line="360" w:lineRule="atLeast"/>
              <w:jc w:val="center"/>
              <w:rPr>
                <w:rFonts w:ascii="宋体" w:hAnsi="宋体" w:cs="宋体"/>
                <w:color w:val="auto"/>
                <w:highlight w:val="none"/>
              </w:rPr>
            </w:pPr>
          </w:p>
        </w:tc>
        <w:tc>
          <w:tcPr>
            <w:tcW w:w="1515" w:type="dxa"/>
            <w:vAlign w:val="center"/>
          </w:tcPr>
          <w:p w14:paraId="08C6EDBB">
            <w:pPr>
              <w:spacing w:line="360" w:lineRule="atLeast"/>
              <w:jc w:val="center"/>
              <w:rPr>
                <w:rFonts w:ascii="宋体" w:hAnsi="宋体" w:cs="宋体"/>
                <w:color w:val="auto"/>
                <w:highlight w:val="none"/>
              </w:rPr>
            </w:pPr>
          </w:p>
        </w:tc>
        <w:tc>
          <w:tcPr>
            <w:tcW w:w="2378" w:type="dxa"/>
            <w:gridSpan w:val="2"/>
            <w:vAlign w:val="center"/>
          </w:tcPr>
          <w:p w14:paraId="19E25FEA">
            <w:pPr>
              <w:spacing w:line="360" w:lineRule="atLeast"/>
              <w:jc w:val="center"/>
              <w:rPr>
                <w:rFonts w:ascii="宋体" w:hAnsi="宋体" w:cs="宋体"/>
                <w:color w:val="auto"/>
                <w:highlight w:val="none"/>
              </w:rPr>
            </w:pPr>
          </w:p>
        </w:tc>
      </w:tr>
      <w:tr w14:paraId="3E7A39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359" w:type="dxa"/>
            <w:vAlign w:val="center"/>
          </w:tcPr>
          <w:p w14:paraId="1D9CA461">
            <w:pPr>
              <w:spacing w:line="360" w:lineRule="atLeast"/>
              <w:jc w:val="center"/>
              <w:rPr>
                <w:rFonts w:ascii="宋体" w:hAnsi="宋体" w:cs="宋体"/>
                <w:color w:val="auto"/>
                <w:highlight w:val="none"/>
              </w:rPr>
            </w:pPr>
          </w:p>
        </w:tc>
        <w:tc>
          <w:tcPr>
            <w:tcW w:w="3923" w:type="dxa"/>
            <w:gridSpan w:val="3"/>
            <w:vAlign w:val="center"/>
          </w:tcPr>
          <w:p w14:paraId="2FB84E1D">
            <w:pPr>
              <w:spacing w:line="360" w:lineRule="atLeast"/>
              <w:jc w:val="center"/>
              <w:rPr>
                <w:rFonts w:ascii="宋体" w:hAnsi="宋体" w:cs="宋体"/>
                <w:color w:val="auto"/>
                <w:highlight w:val="none"/>
              </w:rPr>
            </w:pPr>
          </w:p>
        </w:tc>
        <w:tc>
          <w:tcPr>
            <w:tcW w:w="1515" w:type="dxa"/>
            <w:vAlign w:val="center"/>
          </w:tcPr>
          <w:p w14:paraId="4220BBFB">
            <w:pPr>
              <w:spacing w:line="360" w:lineRule="atLeast"/>
              <w:jc w:val="center"/>
              <w:rPr>
                <w:rFonts w:ascii="宋体" w:hAnsi="宋体" w:cs="宋体"/>
                <w:color w:val="auto"/>
                <w:highlight w:val="none"/>
              </w:rPr>
            </w:pPr>
          </w:p>
        </w:tc>
        <w:tc>
          <w:tcPr>
            <w:tcW w:w="2378" w:type="dxa"/>
            <w:gridSpan w:val="2"/>
            <w:vAlign w:val="center"/>
          </w:tcPr>
          <w:p w14:paraId="44765ED1">
            <w:pPr>
              <w:spacing w:line="360" w:lineRule="atLeast"/>
              <w:jc w:val="center"/>
              <w:rPr>
                <w:rFonts w:ascii="宋体" w:hAnsi="宋体" w:cs="宋体"/>
                <w:color w:val="auto"/>
                <w:highlight w:val="none"/>
              </w:rPr>
            </w:pPr>
          </w:p>
        </w:tc>
      </w:tr>
    </w:tbl>
    <w:p w14:paraId="3967F188">
      <w:pPr>
        <w:spacing w:line="360" w:lineRule="atLeast"/>
        <w:rPr>
          <w:rFonts w:hint="eastAsia" w:ascii="宋体" w:hAnsi="宋体" w:eastAsia="宋体" w:cs="宋体"/>
          <w:color w:val="auto"/>
          <w:highlight w:val="none"/>
        </w:rPr>
      </w:pPr>
      <w:r>
        <w:rPr>
          <w:rFonts w:hint="eastAsia" w:ascii="宋体" w:hAnsi="宋体" w:eastAsia="宋体" w:cs="宋体"/>
          <w:color w:val="auto"/>
          <w:szCs w:val="21"/>
          <w:highlight w:val="none"/>
        </w:rPr>
        <w:t>说明</w:t>
      </w:r>
      <w:r>
        <w:rPr>
          <w:rFonts w:hint="eastAsia" w:ascii="宋体" w:hAnsi="宋体" w:eastAsia="宋体" w:cs="宋体"/>
          <w:color w:val="auto"/>
          <w:highlight w:val="none"/>
        </w:rPr>
        <w:t>：</w:t>
      </w:r>
      <w:r>
        <w:rPr>
          <w:rFonts w:hint="eastAsia" w:ascii="宋体" w:hAnsi="宋体" w:eastAsia="宋体" w:cs="宋体"/>
          <w:color w:val="auto"/>
          <w:szCs w:val="21"/>
          <w:highlight w:val="none"/>
        </w:rPr>
        <w:t>主要人员证书、</w:t>
      </w:r>
      <w:r>
        <w:rPr>
          <w:rFonts w:hint="eastAsia" w:ascii="宋体" w:hAnsi="宋体" w:eastAsia="宋体" w:cs="宋体"/>
          <w:color w:val="auto"/>
          <w:highlight w:val="none"/>
        </w:rPr>
        <w:t>类似项目证明资料等按第二章或第四章要求提供。</w:t>
      </w:r>
    </w:p>
    <w:p w14:paraId="6257E20F">
      <w:pPr>
        <w:adjustRightInd w:val="0"/>
        <w:snapToGrid w:val="0"/>
        <w:spacing w:line="360" w:lineRule="auto"/>
        <w:rPr>
          <w:rFonts w:ascii="宋体" w:hAnsi="宋体"/>
          <w:color w:val="auto"/>
          <w:szCs w:val="21"/>
          <w:highlight w:val="none"/>
        </w:rPr>
      </w:pPr>
    </w:p>
    <w:p w14:paraId="497D866E">
      <w:pPr>
        <w:rPr>
          <w:rFonts w:ascii="宋体" w:hAnsi="宋体"/>
          <w:color w:val="auto"/>
          <w:szCs w:val="21"/>
          <w:highlight w:val="none"/>
        </w:rPr>
      </w:pPr>
    </w:p>
    <w:p w14:paraId="3D4C33E9">
      <w:pPr>
        <w:pStyle w:val="14"/>
        <w:adjustRightInd w:val="0"/>
        <w:snapToGrid w:val="0"/>
        <w:spacing w:line="360" w:lineRule="auto"/>
        <w:rPr>
          <w:rFonts w:ascii="宋体" w:hAnsi="宋体"/>
          <w:bCs/>
          <w:color w:val="auto"/>
          <w:szCs w:val="21"/>
          <w:highlight w:val="none"/>
        </w:rPr>
      </w:pPr>
      <w:r>
        <w:rPr>
          <w:rFonts w:hint="eastAsia" w:ascii="宋体" w:hAnsi="宋体"/>
          <w:color w:val="auto"/>
          <w:szCs w:val="21"/>
          <w:highlight w:val="none"/>
        </w:rPr>
        <w:t>供应商名称：</w:t>
      </w:r>
      <w:r>
        <w:rPr>
          <w:rFonts w:hint="eastAsia" w:ascii="宋体" w:hAnsi="宋体"/>
          <w:color w:val="auto"/>
          <w:szCs w:val="21"/>
          <w:highlight w:val="none"/>
          <w:u w:val="single"/>
        </w:rPr>
        <w:t xml:space="preserve">                </w:t>
      </w:r>
    </w:p>
    <w:p w14:paraId="0585A736">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法定代表人或其委托代理人(签字)：</w:t>
      </w:r>
      <w:r>
        <w:rPr>
          <w:rFonts w:hint="eastAsia" w:ascii="宋体" w:hAnsi="宋体"/>
          <w:color w:val="auto"/>
          <w:szCs w:val="21"/>
          <w:highlight w:val="none"/>
          <w:u w:val="single"/>
        </w:rPr>
        <w:t xml:space="preserve">              </w:t>
      </w:r>
      <w:r>
        <w:rPr>
          <w:rFonts w:hint="eastAsia" w:ascii="宋体" w:hAnsi="宋体"/>
          <w:color w:val="auto"/>
          <w:szCs w:val="21"/>
          <w:highlight w:val="none"/>
        </w:rPr>
        <w:t>_</w:t>
      </w:r>
    </w:p>
    <w:p w14:paraId="7042671A">
      <w:pPr>
        <w:adjustRightInd w:val="0"/>
        <w:snapToGrid w:val="0"/>
        <w:spacing w:line="360" w:lineRule="auto"/>
        <w:rPr>
          <w:color w:val="auto"/>
          <w:szCs w:val="21"/>
          <w:highlight w:val="none"/>
        </w:rPr>
      </w:pPr>
      <w:r>
        <w:rPr>
          <w:color w:val="auto"/>
          <w:szCs w:val="21"/>
          <w:highlight w:val="none"/>
        </w:rPr>
        <w:t>日期：</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695CC336">
      <w:pPr>
        <w:adjustRightInd w:val="0"/>
        <w:snapToGrid w:val="0"/>
        <w:spacing w:line="360" w:lineRule="auto"/>
        <w:rPr>
          <w:rFonts w:ascii="仿宋_GB2312" w:hAnsi="宋体" w:eastAsia="仿宋_GB2312"/>
          <w:bCs/>
          <w:color w:val="auto"/>
          <w:szCs w:val="21"/>
          <w:highlight w:val="none"/>
        </w:rPr>
      </w:pPr>
    </w:p>
    <w:p w14:paraId="4AE190E1">
      <w:pPr>
        <w:adjustRightInd w:val="0"/>
        <w:snapToGrid w:val="0"/>
        <w:spacing w:line="360" w:lineRule="auto"/>
        <w:rPr>
          <w:rFonts w:ascii="宋体" w:hAnsi="宋体"/>
          <w:b/>
          <w:color w:val="auto"/>
          <w:szCs w:val="21"/>
          <w:highlight w:val="none"/>
        </w:rPr>
      </w:pPr>
    </w:p>
    <w:p w14:paraId="0180A9C1">
      <w:pPr>
        <w:pStyle w:val="6"/>
        <w:rPr>
          <w:rFonts w:ascii="宋体" w:hAnsi="宋体"/>
          <w:b/>
          <w:color w:val="auto"/>
          <w:szCs w:val="21"/>
          <w:highlight w:val="none"/>
        </w:rPr>
      </w:pPr>
    </w:p>
    <w:p w14:paraId="51BC6E9B">
      <w:pPr>
        <w:pStyle w:val="7"/>
        <w:ind w:firstLine="422"/>
        <w:rPr>
          <w:rFonts w:ascii="宋体" w:hAnsi="宋体"/>
          <w:b/>
          <w:color w:val="auto"/>
          <w:szCs w:val="21"/>
          <w:highlight w:val="none"/>
        </w:rPr>
      </w:pPr>
    </w:p>
    <w:p w14:paraId="42CBD381">
      <w:pPr>
        <w:keepNext/>
        <w:keepLines/>
        <w:spacing w:line="360" w:lineRule="auto"/>
        <w:jc w:val="center"/>
        <w:outlineLvl w:val="1"/>
        <w:rPr>
          <w:rFonts w:ascii="黑体" w:hAnsi="黑体" w:eastAsia="黑体"/>
          <w:b/>
          <w:bCs/>
          <w:color w:val="auto"/>
          <w:sz w:val="28"/>
          <w:szCs w:val="28"/>
          <w:highlight w:val="none"/>
        </w:rPr>
      </w:pPr>
      <w:bookmarkStart w:id="39" w:name="_Toc107998047"/>
      <w:bookmarkStart w:id="40" w:name="_Toc22201159"/>
      <w:bookmarkStart w:id="41" w:name="_Toc5518"/>
      <w:bookmarkStart w:id="42" w:name="_Toc30078"/>
      <w:r>
        <w:rPr>
          <w:rFonts w:hint="eastAsia" w:ascii="黑体" w:hAnsi="黑体" w:eastAsia="黑体"/>
          <w:b/>
          <w:bCs/>
          <w:color w:val="auto"/>
          <w:sz w:val="28"/>
          <w:szCs w:val="28"/>
          <w:highlight w:val="none"/>
          <w:lang w:eastAsia="zh-CN"/>
        </w:rPr>
        <w:t>六</w:t>
      </w:r>
      <w:r>
        <w:rPr>
          <w:rFonts w:hint="eastAsia" w:ascii="黑体" w:hAnsi="黑体" w:eastAsia="黑体"/>
          <w:b/>
          <w:bCs/>
          <w:color w:val="auto"/>
          <w:sz w:val="28"/>
          <w:szCs w:val="28"/>
          <w:highlight w:val="none"/>
        </w:rPr>
        <w:t>、合同条款偏离表</w:t>
      </w:r>
      <w:bookmarkEnd w:id="39"/>
      <w:bookmarkEnd w:id="40"/>
      <w:bookmarkEnd w:id="41"/>
      <w:bookmarkEnd w:id="42"/>
    </w:p>
    <w:p w14:paraId="707090C5">
      <w:pPr>
        <w:adjustRightInd w:val="0"/>
        <w:snapToGrid w:val="0"/>
        <w:spacing w:before="156" w:beforeLines="50" w:line="360" w:lineRule="auto"/>
        <w:rPr>
          <w:rFonts w:ascii="宋体" w:hAnsi="宋体"/>
          <w:color w:val="auto"/>
          <w:szCs w:val="21"/>
          <w:highlight w:val="none"/>
        </w:rPr>
      </w:pPr>
      <w:r>
        <w:rPr>
          <w:rFonts w:hint="eastAsia" w:ascii="宋体" w:hAnsi="宋体"/>
          <w:color w:val="auto"/>
          <w:szCs w:val="21"/>
          <w:highlight w:val="none"/>
        </w:rPr>
        <w:t>采购代理编号：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项目名称：</w:t>
      </w:r>
      <w:r>
        <w:rPr>
          <w:rFonts w:hint="eastAsia" w:ascii="宋体" w:hAnsi="宋体"/>
          <w:color w:val="auto"/>
          <w:szCs w:val="21"/>
          <w:highlight w:val="none"/>
          <w:u w:val="single"/>
        </w:rPr>
        <w:t xml:space="preserve">                        </w:t>
      </w:r>
    </w:p>
    <w:tbl>
      <w:tblPr>
        <w:tblStyle w:val="20"/>
        <w:tblW w:w="901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595"/>
        <w:gridCol w:w="2410"/>
        <w:gridCol w:w="1985"/>
        <w:gridCol w:w="2082"/>
        <w:gridCol w:w="1942"/>
      </w:tblGrid>
      <w:tr w14:paraId="2525F2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595" w:type="dxa"/>
            <w:vAlign w:val="center"/>
          </w:tcPr>
          <w:p w14:paraId="0ED0EE25">
            <w:pPr>
              <w:adjustRightInd w:val="0"/>
              <w:snapToGrid w:val="0"/>
              <w:spacing w:before="50" w:line="360" w:lineRule="auto"/>
              <w:ind w:left="-88" w:leftChars="-42"/>
              <w:jc w:val="center"/>
              <w:rPr>
                <w:rFonts w:ascii="宋体" w:hAnsi="宋体"/>
                <w:color w:val="auto"/>
                <w:szCs w:val="21"/>
                <w:highlight w:val="none"/>
              </w:rPr>
            </w:pPr>
            <w:r>
              <w:rPr>
                <w:rFonts w:hint="eastAsia" w:ascii="宋体" w:hAnsi="宋体"/>
                <w:bCs/>
                <w:color w:val="auto"/>
                <w:szCs w:val="21"/>
                <w:highlight w:val="none"/>
              </w:rPr>
              <w:t>序</w:t>
            </w:r>
            <w:r>
              <w:rPr>
                <w:rFonts w:hint="eastAsia" w:ascii="宋体" w:hAnsi="宋体"/>
                <w:color w:val="auto"/>
                <w:szCs w:val="21"/>
                <w:highlight w:val="none"/>
              </w:rPr>
              <w:t>号</w:t>
            </w:r>
          </w:p>
        </w:tc>
        <w:tc>
          <w:tcPr>
            <w:tcW w:w="2410" w:type="dxa"/>
            <w:vAlign w:val="center"/>
          </w:tcPr>
          <w:p w14:paraId="31137D57">
            <w:pPr>
              <w:adjustRightInd w:val="0"/>
              <w:snapToGrid w:val="0"/>
              <w:spacing w:before="50" w:line="360" w:lineRule="auto"/>
              <w:ind w:left="-88" w:leftChars="-42"/>
              <w:jc w:val="center"/>
              <w:rPr>
                <w:rFonts w:ascii="宋体" w:hAnsi="宋体"/>
                <w:color w:val="auto"/>
                <w:szCs w:val="21"/>
                <w:highlight w:val="none"/>
              </w:rPr>
            </w:pPr>
            <w:r>
              <w:rPr>
                <w:rFonts w:hint="eastAsia" w:ascii="宋体" w:hAnsi="宋体"/>
                <w:color w:val="auto"/>
                <w:szCs w:val="21"/>
                <w:highlight w:val="none"/>
                <w:lang w:eastAsia="zh-CN"/>
              </w:rPr>
              <w:t>竞争性谈判</w:t>
            </w:r>
            <w:r>
              <w:rPr>
                <w:rFonts w:hint="eastAsia" w:ascii="宋体" w:hAnsi="宋体"/>
                <w:color w:val="auto"/>
                <w:szCs w:val="21"/>
                <w:highlight w:val="none"/>
              </w:rPr>
              <w:t>文件章节</w:t>
            </w:r>
            <w:r>
              <w:rPr>
                <w:rFonts w:hint="eastAsia" w:ascii="宋体" w:hAnsi="宋体"/>
                <w:bCs/>
                <w:color w:val="auto"/>
                <w:szCs w:val="21"/>
                <w:highlight w:val="none"/>
              </w:rPr>
              <w:t>条</w:t>
            </w:r>
            <w:r>
              <w:rPr>
                <w:rFonts w:hint="eastAsia" w:ascii="宋体" w:hAnsi="宋体"/>
                <w:color w:val="auto"/>
                <w:szCs w:val="21"/>
                <w:highlight w:val="none"/>
              </w:rPr>
              <w:t>款号</w:t>
            </w:r>
          </w:p>
        </w:tc>
        <w:tc>
          <w:tcPr>
            <w:tcW w:w="1985" w:type="dxa"/>
            <w:vAlign w:val="center"/>
          </w:tcPr>
          <w:p w14:paraId="72C592B5">
            <w:pPr>
              <w:adjustRightInd w:val="0"/>
              <w:snapToGrid w:val="0"/>
              <w:spacing w:before="50" w:line="360" w:lineRule="auto"/>
              <w:ind w:left="-88" w:leftChars="-42"/>
              <w:jc w:val="center"/>
              <w:rPr>
                <w:rFonts w:ascii="宋体" w:hAnsi="宋体"/>
                <w:color w:val="auto"/>
                <w:szCs w:val="21"/>
                <w:highlight w:val="none"/>
              </w:rPr>
            </w:pPr>
            <w:r>
              <w:rPr>
                <w:rFonts w:hint="eastAsia" w:ascii="宋体" w:hAnsi="宋体"/>
                <w:color w:val="auto"/>
                <w:szCs w:val="21"/>
                <w:highlight w:val="none"/>
                <w:lang w:eastAsia="zh-CN"/>
              </w:rPr>
              <w:t>竞争性谈判</w:t>
            </w:r>
            <w:r>
              <w:rPr>
                <w:rFonts w:hint="eastAsia"/>
                <w:color w:val="auto"/>
                <w:highlight w:val="none"/>
              </w:rPr>
              <w:t>文件要求</w:t>
            </w:r>
          </w:p>
        </w:tc>
        <w:tc>
          <w:tcPr>
            <w:tcW w:w="2082" w:type="dxa"/>
            <w:tcBorders>
              <w:right w:val="single" w:color="auto" w:sz="4" w:space="0"/>
            </w:tcBorders>
            <w:vAlign w:val="center"/>
          </w:tcPr>
          <w:p w14:paraId="43C7A28C">
            <w:pPr>
              <w:adjustRightInd w:val="0"/>
              <w:snapToGrid w:val="0"/>
              <w:spacing w:before="50" w:line="360" w:lineRule="auto"/>
              <w:jc w:val="center"/>
              <w:rPr>
                <w:rFonts w:ascii="宋体" w:hAnsi="宋体"/>
                <w:color w:val="auto"/>
                <w:szCs w:val="21"/>
                <w:highlight w:val="none"/>
              </w:rPr>
            </w:pPr>
            <w:r>
              <w:rPr>
                <w:rFonts w:hint="eastAsia"/>
                <w:color w:val="auto"/>
                <w:highlight w:val="none"/>
              </w:rPr>
              <w:t>响应文件的应答</w:t>
            </w:r>
          </w:p>
        </w:tc>
        <w:tc>
          <w:tcPr>
            <w:tcW w:w="1942" w:type="dxa"/>
            <w:tcBorders>
              <w:left w:val="single" w:color="auto" w:sz="4" w:space="0"/>
            </w:tcBorders>
            <w:vAlign w:val="center"/>
          </w:tcPr>
          <w:p w14:paraId="3DA719F4">
            <w:pPr>
              <w:adjustRightInd w:val="0"/>
              <w:snapToGrid w:val="0"/>
              <w:spacing w:before="50" w:line="360" w:lineRule="auto"/>
              <w:ind w:left="-88" w:leftChars="-42"/>
              <w:jc w:val="center"/>
              <w:rPr>
                <w:rFonts w:ascii="宋体" w:hAnsi="宋体"/>
                <w:color w:val="auto"/>
                <w:szCs w:val="21"/>
                <w:highlight w:val="none"/>
              </w:rPr>
            </w:pPr>
            <w:r>
              <w:rPr>
                <w:rFonts w:hint="eastAsia" w:ascii="宋体" w:hAnsi="宋体"/>
                <w:color w:val="auto"/>
                <w:szCs w:val="21"/>
                <w:highlight w:val="none"/>
              </w:rPr>
              <w:t>偏离说明</w:t>
            </w:r>
          </w:p>
        </w:tc>
      </w:tr>
      <w:tr w14:paraId="0FA765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5D2DFAA8">
            <w:pPr>
              <w:adjustRightInd w:val="0"/>
              <w:snapToGrid w:val="0"/>
              <w:spacing w:before="50" w:line="360" w:lineRule="auto"/>
              <w:ind w:left="-88" w:leftChars="-42"/>
              <w:jc w:val="center"/>
              <w:rPr>
                <w:rFonts w:ascii="宋体" w:hAnsi="宋体"/>
                <w:color w:val="auto"/>
                <w:szCs w:val="21"/>
                <w:highlight w:val="none"/>
              </w:rPr>
            </w:pPr>
          </w:p>
        </w:tc>
        <w:tc>
          <w:tcPr>
            <w:tcW w:w="2410" w:type="dxa"/>
            <w:vAlign w:val="center"/>
          </w:tcPr>
          <w:p w14:paraId="53BC5B16">
            <w:pPr>
              <w:adjustRightInd w:val="0"/>
              <w:snapToGrid w:val="0"/>
              <w:spacing w:before="50" w:line="360" w:lineRule="auto"/>
              <w:ind w:left="-88" w:leftChars="-42"/>
              <w:jc w:val="center"/>
              <w:rPr>
                <w:rFonts w:ascii="宋体" w:hAnsi="宋体"/>
                <w:color w:val="auto"/>
                <w:szCs w:val="21"/>
                <w:highlight w:val="none"/>
              </w:rPr>
            </w:pPr>
          </w:p>
        </w:tc>
        <w:tc>
          <w:tcPr>
            <w:tcW w:w="1985" w:type="dxa"/>
          </w:tcPr>
          <w:p w14:paraId="45712BEE">
            <w:pPr>
              <w:adjustRightInd w:val="0"/>
              <w:snapToGrid w:val="0"/>
              <w:spacing w:before="50" w:line="360" w:lineRule="auto"/>
              <w:rPr>
                <w:color w:val="auto"/>
                <w:highlight w:val="none"/>
              </w:rPr>
            </w:pPr>
          </w:p>
        </w:tc>
        <w:tc>
          <w:tcPr>
            <w:tcW w:w="2082" w:type="dxa"/>
            <w:tcBorders>
              <w:right w:val="single" w:color="auto" w:sz="4" w:space="0"/>
            </w:tcBorders>
          </w:tcPr>
          <w:p w14:paraId="7F1F8384">
            <w:pPr>
              <w:adjustRightInd w:val="0"/>
              <w:snapToGrid w:val="0"/>
              <w:spacing w:before="50" w:line="360" w:lineRule="auto"/>
              <w:rPr>
                <w:color w:val="auto"/>
                <w:highlight w:val="none"/>
              </w:rPr>
            </w:pPr>
          </w:p>
        </w:tc>
        <w:tc>
          <w:tcPr>
            <w:tcW w:w="1942" w:type="dxa"/>
            <w:tcBorders>
              <w:left w:val="single" w:color="auto" w:sz="4" w:space="0"/>
            </w:tcBorders>
          </w:tcPr>
          <w:p w14:paraId="2DA41821">
            <w:pPr>
              <w:adjustRightInd w:val="0"/>
              <w:snapToGrid w:val="0"/>
              <w:spacing w:before="50" w:line="360" w:lineRule="auto"/>
              <w:ind w:left="-88" w:leftChars="-42"/>
              <w:jc w:val="center"/>
              <w:rPr>
                <w:rFonts w:ascii="宋体" w:hAnsi="宋体"/>
                <w:color w:val="auto"/>
                <w:szCs w:val="21"/>
                <w:highlight w:val="none"/>
              </w:rPr>
            </w:pPr>
          </w:p>
        </w:tc>
      </w:tr>
      <w:tr w14:paraId="242553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1B87353A">
            <w:pPr>
              <w:adjustRightInd w:val="0"/>
              <w:snapToGrid w:val="0"/>
              <w:spacing w:before="50" w:line="360" w:lineRule="auto"/>
              <w:ind w:left="-88" w:leftChars="-42"/>
              <w:jc w:val="center"/>
              <w:rPr>
                <w:rFonts w:ascii="宋体" w:hAnsi="宋体"/>
                <w:color w:val="auto"/>
                <w:szCs w:val="21"/>
                <w:highlight w:val="none"/>
              </w:rPr>
            </w:pPr>
          </w:p>
        </w:tc>
        <w:tc>
          <w:tcPr>
            <w:tcW w:w="2410" w:type="dxa"/>
            <w:vAlign w:val="center"/>
          </w:tcPr>
          <w:p w14:paraId="2F531B9B">
            <w:pPr>
              <w:adjustRightInd w:val="0"/>
              <w:snapToGrid w:val="0"/>
              <w:spacing w:before="50" w:line="360" w:lineRule="auto"/>
              <w:ind w:left="-88" w:leftChars="-42"/>
              <w:jc w:val="center"/>
              <w:rPr>
                <w:rFonts w:ascii="宋体" w:hAnsi="宋体"/>
                <w:color w:val="auto"/>
                <w:szCs w:val="21"/>
                <w:highlight w:val="none"/>
              </w:rPr>
            </w:pPr>
          </w:p>
        </w:tc>
        <w:tc>
          <w:tcPr>
            <w:tcW w:w="1985" w:type="dxa"/>
            <w:vAlign w:val="center"/>
          </w:tcPr>
          <w:p w14:paraId="299EB942">
            <w:pPr>
              <w:adjustRightInd w:val="0"/>
              <w:snapToGrid w:val="0"/>
              <w:spacing w:before="50" w:line="360" w:lineRule="auto"/>
              <w:ind w:left="-88" w:leftChars="-42"/>
              <w:jc w:val="center"/>
              <w:rPr>
                <w:rFonts w:ascii="宋体" w:hAnsi="宋体"/>
                <w:color w:val="auto"/>
                <w:szCs w:val="21"/>
                <w:highlight w:val="none"/>
              </w:rPr>
            </w:pPr>
          </w:p>
        </w:tc>
        <w:tc>
          <w:tcPr>
            <w:tcW w:w="2082" w:type="dxa"/>
            <w:tcBorders>
              <w:right w:val="single" w:color="auto" w:sz="4" w:space="0"/>
            </w:tcBorders>
            <w:vAlign w:val="center"/>
          </w:tcPr>
          <w:p w14:paraId="218EF34F">
            <w:pPr>
              <w:adjustRightInd w:val="0"/>
              <w:snapToGrid w:val="0"/>
              <w:spacing w:before="50" w:line="360" w:lineRule="auto"/>
              <w:ind w:left="-88" w:leftChars="-42"/>
              <w:jc w:val="center"/>
              <w:rPr>
                <w:rFonts w:ascii="宋体" w:hAnsi="宋体"/>
                <w:color w:val="auto"/>
                <w:szCs w:val="21"/>
                <w:highlight w:val="none"/>
              </w:rPr>
            </w:pPr>
          </w:p>
        </w:tc>
        <w:tc>
          <w:tcPr>
            <w:tcW w:w="1942" w:type="dxa"/>
            <w:tcBorders>
              <w:left w:val="single" w:color="auto" w:sz="4" w:space="0"/>
            </w:tcBorders>
            <w:vAlign w:val="center"/>
          </w:tcPr>
          <w:p w14:paraId="018083BB">
            <w:pPr>
              <w:adjustRightInd w:val="0"/>
              <w:snapToGrid w:val="0"/>
              <w:spacing w:before="50" w:line="360" w:lineRule="auto"/>
              <w:ind w:left="-88" w:leftChars="-42"/>
              <w:jc w:val="center"/>
              <w:rPr>
                <w:rFonts w:ascii="宋体" w:hAnsi="宋体"/>
                <w:color w:val="auto"/>
                <w:szCs w:val="21"/>
                <w:highlight w:val="none"/>
              </w:rPr>
            </w:pPr>
          </w:p>
        </w:tc>
      </w:tr>
      <w:tr w14:paraId="4217AF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4AD12643">
            <w:pPr>
              <w:adjustRightInd w:val="0"/>
              <w:snapToGrid w:val="0"/>
              <w:spacing w:before="50" w:line="360" w:lineRule="auto"/>
              <w:ind w:left="-88" w:leftChars="-42"/>
              <w:jc w:val="center"/>
              <w:rPr>
                <w:rFonts w:ascii="宋体" w:hAnsi="宋体"/>
                <w:color w:val="auto"/>
                <w:szCs w:val="21"/>
                <w:highlight w:val="none"/>
              </w:rPr>
            </w:pPr>
          </w:p>
        </w:tc>
        <w:tc>
          <w:tcPr>
            <w:tcW w:w="2410" w:type="dxa"/>
            <w:vAlign w:val="center"/>
          </w:tcPr>
          <w:p w14:paraId="21DF1A68">
            <w:pPr>
              <w:adjustRightInd w:val="0"/>
              <w:snapToGrid w:val="0"/>
              <w:spacing w:before="50" w:line="360" w:lineRule="auto"/>
              <w:ind w:left="-88" w:leftChars="-42"/>
              <w:jc w:val="center"/>
              <w:rPr>
                <w:rFonts w:ascii="宋体" w:hAnsi="宋体"/>
                <w:color w:val="auto"/>
                <w:szCs w:val="21"/>
                <w:highlight w:val="none"/>
              </w:rPr>
            </w:pPr>
          </w:p>
        </w:tc>
        <w:tc>
          <w:tcPr>
            <w:tcW w:w="1985" w:type="dxa"/>
            <w:vAlign w:val="center"/>
          </w:tcPr>
          <w:p w14:paraId="4D370CF5">
            <w:pPr>
              <w:adjustRightInd w:val="0"/>
              <w:snapToGrid w:val="0"/>
              <w:spacing w:before="50" w:line="360" w:lineRule="auto"/>
              <w:ind w:left="-88" w:leftChars="-42"/>
              <w:jc w:val="center"/>
              <w:rPr>
                <w:rFonts w:ascii="宋体" w:hAnsi="宋体"/>
                <w:color w:val="auto"/>
                <w:szCs w:val="21"/>
                <w:highlight w:val="none"/>
              </w:rPr>
            </w:pPr>
          </w:p>
        </w:tc>
        <w:tc>
          <w:tcPr>
            <w:tcW w:w="2082" w:type="dxa"/>
            <w:tcBorders>
              <w:right w:val="single" w:color="auto" w:sz="4" w:space="0"/>
            </w:tcBorders>
            <w:vAlign w:val="center"/>
          </w:tcPr>
          <w:p w14:paraId="375E0911">
            <w:pPr>
              <w:adjustRightInd w:val="0"/>
              <w:snapToGrid w:val="0"/>
              <w:spacing w:before="50" w:line="360" w:lineRule="auto"/>
              <w:ind w:left="-88" w:leftChars="-42"/>
              <w:jc w:val="center"/>
              <w:rPr>
                <w:rFonts w:ascii="宋体" w:hAnsi="宋体"/>
                <w:color w:val="auto"/>
                <w:szCs w:val="21"/>
                <w:highlight w:val="none"/>
              </w:rPr>
            </w:pPr>
          </w:p>
        </w:tc>
        <w:tc>
          <w:tcPr>
            <w:tcW w:w="1942" w:type="dxa"/>
            <w:tcBorders>
              <w:left w:val="single" w:color="auto" w:sz="4" w:space="0"/>
            </w:tcBorders>
            <w:vAlign w:val="center"/>
          </w:tcPr>
          <w:p w14:paraId="751BD7A2">
            <w:pPr>
              <w:adjustRightInd w:val="0"/>
              <w:snapToGrid w:val="0"/>
              <w:spacing w:before="50" w:line="360" w:lineRule="auto"/>
              <w:ind w:left="-88" w:leftChars="-42"/>
              <w:jc w:val="center"/>
              <w:rPr>
                <w:rFonts w:ascii="宋体" w:hAnsi="宋体"/>
                <w:color w:val="auto"/>
                <w:szCs w:val="21"/>
                <w:highlight w:val="none"/>
              </w:rPr>
            </w:pPr>
          </w:p>
        </w:tc>
      </w:tr>
      <w:tr w14:paraId="4196AA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0529B860">
            <w:pPr>
              <w:adjustRightInd w:val="0"/>
              <w:snapToGrid w:val="0"/>
              <w:spacing w:before="50" w:line="360" w:lineRule="auto"/>
              <w:ind w:left="-88" w:leftChars="-42"/>
              <w:jc w:val="center"/>
              <w:rPr>
                <w:rFonts w:ascii="宋体" w:hAnsi="宋体"/>
                <w:color w:val="auto"/>
                <w:szCs w:val="21"/>
                <w:highlight w:val="none"/>
              </w:rPr>
            </w:pPr>
          </w:p>
        </w:tc>
        <w:tc>
          <w:tcPr>
            <w:tcW w:w="2410" w:type="dxa"/>
            <w:vAlign w:val="center"/>
          </w:tcPr>
          <w:p w14:paraId="572F8B4F">
            <w:pPr>
              <w:adjustRightInd w:val="0"/>
              <w:snapToGrid w:val="0"/>
              <w:spacing w:before="50" w:line="360" w:lineRule="auto"/>
              <w:ind w:left="-88" w:leftChars="-42"/>
              <w:jc w:val="center"/>
              <w:rPr>
                <w:rFonts w:ascii="宋体" w:hAnsi="宋体"/>
                <w:color w:val="auto"/>
                <w:szCs w:val="21"/>
                <w:highlight w:val="none"/>
              </w:rPr>
            </w:pPr>
          </w:p>
        </w:tc>
        <w:tc>
          <w:tcPr>
            <w:tcW w:w="1985" w:type="dxa"/>
            <w:vAlign w:val="center"/>
          </w:tcPr>
          <w:p w14:paraId="0BD30565">
            <w:pPr>
              <w:adjustRightInd w:val="0"/>
              <w:snapToGrid w:val="0"/>
              <w:spacing w:before="50" w:line="360" w:lineRule="auto"/>
              <w:ind w:left="-88" w:leftChars="-42"/>
              <w:jc w:val="center"/>
              <w:rPr>
                <w:rFonts w:ascii="宋体" w:hAnsi="宋体"/>
                <w:color w:val="auto"/>
                <w:szCs w:val="21"/>
                <w:highlight w:val="none"/>
              </w:rPr>
            </w:pPr>
          </w:p>
        </w:tc>
        <w:tc>
          <w:tcPr>
            <w:tcW w:w="2082" w:type="dxa"/>
            <w:tcBorders>
              <w:right w:val="single" w:color="auto" w:sz="4" w:space="0"/>
            </w:tcBorders>
            <w:vAlign w:val="center"/>
          </w:tcPr>
          <w:p w14:paraId="11436764">
            <w:pPr>
              <w:adjustRightInd w:val="0"/>
              <w:snapToGrid w:val="0"/>
              <w:spacing w:before="50" w:line="360" w:lineRule="auto"/>
              <w:ind w:left="-88" w:leftChars="-42"/>
              <w:jc w:val="center"/>
              <w:rPr>
                <w:rFonts w:ascii="宋体" w:hAnsi="宋体"/>
                <w:color w:val="auto"/>
                <w:szCs w:val="21"/>
                <w:highlight w:val="none"/>
              </w:rPr>
            </w:pPr>
          </w:p>
        </w:tc>
        <w:tc>
          <w:tcPr>
            <w:tcW w:w="1942" w:type="dxa"/>
            <w:tcBorders>
              <w:left w:val="single" w:color="auto" w:sz="4" w:space="0"/>
            </w:tcBorders>
            <w:vAlign w:val="center"/>
          </w:tcPr>
          <w:p w14:paraId="1BD3872E">
            <w:pPr>
              <w:adjustRightInd w:val="0"/>
              <w:snapToGrid w:val="0"/>
              <w:spacing w:before="50" w:line="360" w:lineRule="auto"/>
              <w:ind w:left="-88" w:leftChars="-42"/>
              <w:jc w:val="center"/>
              <w:rPr>
                <w:rFonts w:ascii="宋体" w:hAnsi="宋体"/>
                <w:color w:val="auto"/>
                <w:szCs w:val="21"/>
                <w:highlight w:val="none"/>
              </w:rPr>
            </w:pPr>
          </w:p>
        </w:tc>
      </w:tr>
      <w:tr w14:paraId="191C00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6DA3529F">
            <w:pPr>
              <w:adjustRightInd w:val="0"/>
              <w:snapToGrid w:val="0"/>
              <w:spacing w:before="50" w:line="360" w:lineRule="auto"/>
              <w:ind w:left="-88" w:leftChars="-42"/>
              <w:jc w:val="center"/>
              <w:rPr>
                <w:rFonts w:ascii="宋体" w:hAnsi="宋体"/>
                <w:color w:val="auto"/>
                <w:szCs w:val="21"/>
                <w:highlight w:val="none"/>
              </w:rPr>
            </w:pPr>
          </w:p>
        </w:tc>
        <w:tc>
          <w:tcPr>
            <w:tcW w:w="2410" w:type="dxa"/>
            <w:vAlign w:val="center"/>
          </w:tcPr>
          <w:p w14:paraId="3B980F56">
            <w:pPr>
              <w:adjustRightInd w:val="0"/>
              <w:snapToGrid w:val="0"/>
              <w:spacing w:before="50" w:line="360" w:lineRule="auto"/>
              <w:ind w:left="-88" w:leftChars="-42"/>
              <w:jc w:val="center"/>
              <w:rPr>
                <w:rFonts w:ascii="宋体" w:hAnsi="宋体"/>
                <w:color w:val="auto"/>
                <w:szCs w:val="21"/>
                <w:highlight w:val="none"/>
              </w:rPr>
            </w:pPr>
          </w:p>
        </w:tc>
        <w:tc>
          <w:tcPr>
            <w:tcW w:w="1985" w:type="dxa"/>
            <w:vAlign w:val="center"/>
          </w:tcPr>
          <w:p w14:paraId="2581D9E6">
            <w:pPr>
              <w:adjustRightInd w:val="0"/>
              <w:snapToGrid w:val="0"/>
              <w:spacing w:before="50" w:line="360" w:lineRule="auto"/>
              <w:ind w:left="-88" w:leftChars="-42"/>
              <w:jc w:val="center"/>
              <w:rPr>
                <w:rFonts w:ascii="宋体" w:hAnsi="宋体"/>
                <w:color w:val="auto"/>
                <w:szCs w:val="21"/>
                <w:highlight w:val="none"/>
              </w:rPr>
            </w:pPr>
          </w:p>
        </w:tc>
        <w:tc>
          <w:tcPr>
            <w:tcW w:w="2082" w:type="dxa"/>
            <w:tcBorders>
              <w:right w:val="single" w:color="auto" w:sz="4" w:space="0"/>
            </w:tcBorders>
            <w:vAlign w:val="center"/>
          </w:tcPr>
          <w:p w14:paraId="0BEE8FED">
            <w:pPr>
              <w:adjustRightInd w:val="0"/>
              <w:snapToGrid w:val="0"/>
              <w:spacing w:before="50" w:line="360" w:lineRule="auto"/>
              <w:ind w:left="-88" w:leftChars="-42"/>
              <w:jc w:val="center"/>
              <w:rPr>
                <w:rFonts w:ascii="宋体" w:hAnsi="宋体"/>
                <w:color w:val="auto"/>
                <w:szCs w:val="21"/>
                <w:highlight w:val="none"/>
              </w:rPr>
            </w:pPr>
          </w:p>
        </w:tc>
        <w:tc>
          <w:tcPr>
            <w:tcW w:w="1942" w:type="dxa"/>
            <w:tcBorders>
              <w:left w:val="single" w:color="auto" w:sz="4" w:space="0"/>
            </w:tcBorders>
            <w:vAlign w:val="center"/>
          </w:tcPr>
          <w:p w14:paraId="1AEA083F">
            <w:pPr>
              <w:adjustRightInd w:val="0"/>
              <w:snapToGrid w:val="0"/>
              <w:spacing w:before="50" w:line="360" w:lineRule="auto"/>
              <w:ind w:left="-88" w:leftChars="-42"/>
              <w:jc w:val="center"/>
              <w:rPr>
                <w:rFonts w:ascii="宋体" w:hAnsi="宋体"/>
                <w:color w:val="auto"/>
                <w:szCs w:val="21"/>
                <w:highlight w:val="none"/>
              </w:rPr>
            </w:pPr>
          </w:p>
        </w:tc>
      </w:tr>
      <w:tr w14:paraId="4EBA28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4A79F97D">
            <w:pPr>
              <w:adjustRightInd w:val="0"/>
              <w:snapToGrid w:val="0"/>
              <w:spacing w:before="50" w:line="360" w:lineRule="auto"/>
              <w:ind w:left="-88" w:leftChars="-42"/>
              <w:jc w:val="center"/>
              <w:rPr>
                <w:rFonts w:ascii="宋体" w:hAnsi="宋体"/>
                <w:color w:val="auto"/>
                <w:szCs w:val="21"/>
                <w:highlight w:val="none"/>
              </w:rPr>
            </w:pPr>
          </w:p>
        </w:tc>
        <w:tc>
          <w:tcPr>
            <w:tcW w:w="2410" w:type="dxa"/>
            <w:vAlign w:val="center"/>
          </w:tcPr>
          <w:p w14:paraId="58336EE4">
            <w:pPr>
              <w:adjustRightInd w:val="0"/>
              <w:snapToGrid w:val="0"/>
              <w:spacing w:before="50" w:line="360" w:lineRule="auto"/>
              <w:ind w:left="-88" w:leftChars="-42"/>
              <w:jc w:val="center"/>
              <w:rPr>
                <w:rFonts w:ascii="宋体" w:hAnsi="宋体"/>
                <w:color w:val="auto"/>
                <w:szCs w:val="21"/>
                <w:highlight w:val="none"/>
              </w:rPr>
            </w:pPr>
          </w:p>
        </w:tc>
        <w:tc>
          <w:tcPr>
            <w:tcW w:w="1985" w:type="dxa"/>
            <w:vAlign w:val="center"/>
          </w:tcPr>
          <w:p w14:paraId="581D22DD">
            <w:pPr>
              <w:adjustRightInd w:val="0"/>
              <w:snapToGrid w:val="0"/>
              <w:spacing w:before="50" w:line="360" w:lineRule="auto"/>
              <w:ind w:left="-88" w:leftChars="-42"/>
              <w:jc w:val="center"/>
              <w:rPr>
                <w:rFonts w:ascii="宋体" w:hAnsi="宋体"/>
                <w:color w:val="auto"/>
                <w:szCs w:val="21"/>
                <w:highlight w:val="none"/>
              </w:rPr>
            </w:pPr>
          </w:p>
        </w:tc>
        <w:tc>
          <w:tcPr>
            <w:tcW w:w="2082" w:type="dxa"/>
            <w:tcBorders>
              <w:right w:val="single" w:color="auto" w:sz="4" w:space="0"/>
            </w:tcBorders>
            <w:vAlign w:val="center"/>
          </w:tcPr>
          <w:p w14:paraId="78764497">
            <w:pPr>
              <w:adjustRightInd w:val="0"/>
              <w:snapToGrid w:val="0"/>
              <w:spacing w:before="50" w:line="360" w:lineRule="auto"/>
              <w:ind w:left="-88" w:leftChars="-42"/>
              <w:jc w:val="center"/>
              <w:rPr>
                <w:rFonts w:ascii="宋体" w:hAnsi="宋体"/>
                <w:color w:val="auto"/>
                <w:szCs w:val="21"/>
                <w:highlight w:val="none"/>
              </w:rPr>
            </w:pPr>
          </w:p>
        </w:tc>
        <w:tc>
          <w:tcPr>
            <w:tcW w:w="1942" w:type="dxa"/>
            <w:tcBorders>
              <w:left w:val="single" w:color="auto" w:sz="4" w:space="0"/>
            </w:tcBorders>
            <w:vAlign w:val="center"/>
          </w:tcPr>
          <w:p w14:paraId="6F7048AF">
            <w:pPr>
              <w:adjustRightInd w:val="0"/>
              <w:snapToGrid w:val="0"/>
              <w:spacing w:before="50" w:line="360" w:lineRule="auto"/>
              <w:ind w:left="-88" w:leftChars="-42"/>
              <w:jc w:val="center"/>
              <w:rPr>
                <w:rFonts w:ascii="宋体" w:hAnsi="宋体"/>
                <w:color w:val="auto"/>
                <w:szCs w:val="21"/>
                <w:highlight w:val="none"/>
              </w:rPr>
            </w:pPr>
          </w:p>
        </w:tc>
      </w:tr>
      <w:tr w14:paraId="622251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68C0471A">
            <w:pPr>
              <w:adjustRightInd w:val="0"/>
              <w:snapToGrid w:val="0"/>
              <w:spacing w:before="50" w:line="360" w:lineRule="auto"/>
              <w:ind w:left="-88" w:leftChars="-42"/>
              <w:jc w:val="center"/>
              <w:rPr>
                <w:rFonts w:ascii="宋体" w:hAnsi="宋体"/>
                <w:color w:val="auto"/>
                <w:szCs w:val="21"/>
                <w:highlight w:val="none"/>
              </w:rPr>
            </w:pPr>
          </w:p>
        </w:tc>
        <w:tc>
          <w:tcPr>
            <w:tcW w:w="2410" w:type="dxa"/>
            <w:vAlign w:val="center"/>
          </w:tcPr>
          <w:p w14:paraId="0A7E912C">
            <w:pPr>
              <w:adjustRightInd w:val="0"/>
              <w:snapToGrid w:val="0"/>
              <w:spacing w:before="50" w:line="360" w:lineRule="auto"/>
              <w:ind w:left="-88" w:leftChars="-42"/>
              <w:jc w:val="center"/>
              <w:rPr>
                <w:rFonts w:ascii="宋体" w:hAnsi="宋体"/>
                <w:color w:val="auto"/>
                <w:szCs w:val="21"/>
                <w:highlight w:val="none"/>
              </w:rPr>
            </w:pPr>
          </w:p>
        </w:tc>
        <w:tc>
          <w:tcPr>
            <w:tcW w:w="1985" w:type="dxa"/>
            <w:vAlign w:val="center"/>
          </w:tcPr>
          <w:p w14:paraId="4C67CBD4">
            <w:pPr>
              <w:adjustRightInd w:val="0"/>
              <w:snapToGrid w:val="0"/>
              <w:spacing w:before="50" w:line="360" w:lineRule="auto"/>
              <w:ind w:left="-88" w:leftChars="-42"/>
              <w:jc w:val="center"/>
              <w:rPr>
                <w:rFonts w:ascii="宋体" w:hAnsi="宋体"/>
                <w:color w:val="auto"/>
                <w:szCs w:val="21"/>
                <w:highlight w:val="none"/>
              </w:rPr>
            </w:pPr>
          </w:p>
        </w:tc>
        <w:tc>
          <w:tcPr>
            <w:tcW w:w="4024" w:type="dxa"/>
            <w:gridSpan w:val="2"/>
            <w:vAlign w:val="center"/>
          </w:tcPr>
          <w:p w14:paraId="748DBA24">
            <w:pPr>
              <w:adjustRightInd w:val="0"/>
              <w:snapToGrid w:val="0"/>
              <w:spacing w:before="50" w:line="360" w:lineRule="auto"/>
              <w:ind w:firstLine="420" w:firstLineChars="200"/>
              <w:jc w:val="left"/>
              <w:rPr>
                <w:rFonts w:ascii="宋体" w:hAnsi="宋体"/>
                <w:b/>
                <w:color w:val="auto"/>
                <w:szCs w:val="21"/>
                <w:highlight w:val="none"/>
              </w:rPr>
            </w:pPr>
            <w:r>
              <w:rPr>
                <w:rFonts w:hint="eastAsia" w:ascii="宋体" w:hAnsi="宋体"/>
                <w:b/>
                <w:color w:val="auto"/>
                <w:szCs w:val="21"/>
                <w:highlight w:val="none"/>
              </w:rPr>
              <w:t>供应商保证：除本合同条款偏离表列出的偏离外，我单位对</w:t>
            </w:r>
            <w:r>
              <w:rPr>
                <w:rFonts w:hint="eastAsia" w:ascii="宋体" w:hAnsi="宋体"/>
                <w:b/>
                <w:color w:val="auto"/>
                <w:szCs w:val="21"/>
                <w:highlight w:val="none"/>
                <w:lang w:eastAsia="zh-CN"/>
              </w:rPr>
              <w:t>竞争性谈判</w:t>
            </w:r>
            <w:r>
              <w:rPr>
                <w:rFonts w:hint="eastAsia" w:ascii="宋体" w:hAnsi="宋体"/>
                <w:b/>
                <w:color w:val="auto"/>
                <w:szCs w:val="21"/>
                <w:highlight w:val="none"/>
              </w:rPr>
              <w:t>文件的其他商务、合同条款完全响应，无偏离。</w:t>
            </w:r>
          </w:p>
        </w:tc>
      </w:tr>
    </w:tbl>
    <w:p w14:paraId="16259F23">
      <w:pPr>
        <w:adjustRightInd w:val="0"/>
        <w:snapToGrid w:val="0"/>
        <w:spacing w:before="50" w:line="360" w:lineRule="auto"/>
        <w:ind w:left="-88" w:leftChars="-42"/>
        <w:rPr>
          <w:rFonts w:ascii="宋体" w:hAnsi="宋体"/>
          <w:color w:val="auto"/>
          <w:szCs w:val="21"/>
          <w:highlight w:val="none"/>
        </w:rPr>
      </w:pPr>
      <w:r>
        <w:rPr>
          <w:rFonts w:hint="eastAsia" w:ascii="宋体" w:hAnsi="宋体"/>
          <w:bCs/>
          <w:color w:val="auto"/>
          <w:szCs w:val="21"/>
          <w:highlight w:val="none"/>
        </w:rPr>
        <w:t>注：1.</w:t>
      </w:r>
      <w:r>
        <w:rPr>
          <w:rFonts w:hint="eastAsia" w:ascii="宋体" w:hAnsi="宋体"/>
          <w:color w:val="auto"/>
          <w:szCs w:val="21"/>
          <w:highlight w:val="none"/>
        </w:rPr>
        <w:t>供应商应根据</w:t>
      </w:r>
      <w:r>
        <w:rPr>
          <w:rFonts w:hint="eastAsia" w:ascii="宋体" w:hAnsi="宋体"/>
          <w:color w:val="auto"/>
          <w:szCs w:val="21"/>
          <w:highlight w:val="none"/>
          <w:lang w:eastAsia="zh-CN"/>
        </w:rPr>
        <w:t>竞争性谈判</w:t>
      </w:r>
      <w:r>
        <w:rPr>
          <w:rFonts w:hint="eastAsia" w:ascii="宋体" w:hAnsi="宋体"/>
          <w:color w:val="auto"/>
          <w:szCs w:val="21"/>
          <w:highlight w:val="none"/>
        </w:rPr>
        <w:t>文件第四章</w:t>
      </w:r>
      <w:r>
        <w:rPr>
          <w:rFonts w:hint="eastAsia" w:ascii="华文宋体" w:hAnsi="华文宋体" w:eastAsia="华文宋体"/>
          <w:color w:val="auto"/>
          <w:szCs w:val="21"/>
          <w:highlight w:val="none"/>
        </w:rPr>
        <w:t>“</w:t>
      </w:r>
      <w:r>
        <w:rPr>
          <w:rFonts w:hint="eastAsia" w:ascii="宋体" w:hAnsi="宋体"/>
          <w:color w:val="auto"/>
          <w:szCs w:val="21"/>
          <w:highlight w:val="none"/>
        </w:rPr>
        <w:t>合同草案条款</w:t>
      </w:r>
      <w:r>
        <w:rPr>
          <w:rFonts w:hint="eastAsia" w:ascii="华文宋体" w:hAnsi="华文宋体" w:eastAsia="华文宋体"/>
          <w:color w:val="auto"/>
          <w:szCs w:val="21"/>
          <w:highlight w:val="none"/>
        </w:rPr>
        <w:t>”</w:t>
      </w:r>
      <w:r>
        <w:rPr>
          <w:rFonts w:hint="eastAsia" w:ascii="宋体" w:hAnsi="宋体"/>
          <w:color w:val="auto"/>
          <w:szCs w:val="21"/>
          <w:highlight w:val="none"/>
        </w:rPr>
        <w:t>填写本表；</w:t>
      </w:r>
    </w:p>
    <w:p w14:paraId="6708B1C0">
      <w:pPr>
        <w:adjustRightInd w:val="0"/>
        <w:snapToGrid w:val="0"/>
        <w:spacing w:before="50" w:line="360" w:lineRule="auto"/>
        <w:ind w:left="-88" w:leftChars="-42" w:firstLine="420" w:firstLineChars="200"/>
        <w:rPr>
          <w:rFonts w:ascii="宋体" w:hAnsi="宋体"/>
          <w:b/>
          <w:color w:val="auto"/>
          <w:szCs w:val="21"/>
          <w:highlight w:val="none"/>
        </w:rPr>
      </w:pPr>
      <w:r>
        <w:rPr>
          <w:rFonts w:hint="eastAsia" w:ascii="宋体" w:hAnsi="宋体"/>
          <w:color w:val="auto"/>
          <w:szCs w:val="21"/>
          <w:highlight w:val="none"/>
        </w:rPr>
        <w:t>2.</w:t>
      </w:r>
      <w:r>
        <w:rPr>
          <w:rFonts w:hint="eastAsia" w:ascii="宋体" w:hAnsi="宋体"/>
          <w:b/>
          <w:color w:val="auto"/>
          <w:szCs w:val="21"/>
          <w:highlight w:val="none"/>
        </w:rPr>
        <w:t>供应商如果对</w:t>
      </w:r>
      <w:r>
        <w:rPr>
          <w:rFonts w:hint="eastAsia" w:ascii="宋体" w:hAnsi="宋体"/>
          <w:b/>
          <w:color w:val="auto"/>
          <w:szCs w:val="21"/>
          <w:highlight w:val="none"/>
          <w:lang w:eastAsia="zh-CN"/>
        </w:rPr>
        <w:t>竞争性谈判</w:t>
      </w:r>
      <w:r>
        <w:rPr>
          <w:rFonts w:hint="eastAsia" w:ascii="宋体" w:hAnsi="宋体"/>
          <w:b/>
          <w:color w:val="auto"/>
          <w:szCs w:val="21"/>
          <w:highlight w:val="none"/>
        </w:rPr>
        <w:t>文件第四章“合同草案条款”的响应有偏离，应将偏离条款逐条如实应答，并作出说明；</w:t>
      </w:r>
    </w:p>
    <w:p w14:paraId="11E9D207">
      <w:pPr>
        <w:adjustRightInd w:val="0"/>
        <w:snapToGrid w:val="0"/>
        <w:spacing w:before="50" w:line="360" w:lineRule="auto"/>
        <w:ind w:left="-88" w:leftChars="-42" w:firstLine="420" w:firstLineChars="200"/>
        <w:rPr>
          <w:rFonts w:ascii="宋体" w:hAnsi="宋体"/>
          <w:color w:val="auto"/>
          <w:szCs w:val="21"/>
          <w:highlight w:val="none"/>
        </w:rPr>
      </w:pPr>
      <w:r>
        <w:rPr>
          <w:rFonts w:hint="eastAsia" w:ascii="宋体" w:hAnsi="宋体"/>
          <w:color w:val="auto"/>
          <w:szCs w:val="21"/>
          <w:highlight w:val="none"/>
        </w:rPr>
        <w:t>3.如不提供此表，则视为供应商不满足</w:t>
      </w:r>
      <w:r>
        <w:rPr>
          <w:rFonts w:hint="eastAsia" w:ascii="宋体" w:hAnsi="宋体"/>
          <w:color w:val="auto"/>
          <w:szCs w:val="21"/>
          <w:highlight w:val="none"/>
          <w:lang w:eastAsia="zh-CN"/>
        </w:rPr>
        <w:t>竞争性谈判</w:t>
      </w:r>
      <w:r>
        <w:rPr>
          <w:rFonts w:hint="eastAsia" w:ascii="宋体" w:hAnsi="宋体"/>
          <w:color w:val="auto"/>
          <w:szCs w:val="21"/>
          <w:highlight w:val="none"/>
        </w:rPr>
        <w:t>文件第四章的所有条款要求，其</w:t>
      </w:r>
      <w:r>
        <w:rPr>
          <w:rFonts w:hint="eastAsia" w:ascii="宋体" w:hAnsi="宋体"/>
          <w:b/>
          <w:color w:val="auto"/>
          <w:szCs w:val="21"/>
          <w:highlight w:val="none"/>
        </w:rPr>
        <w:t>响应无效</w:t>
      </w:r>
      <w:r>
        <w:rPr>
          <w:rFonts w:hint="eastAsia" w:ascii="宋体" w:hAnsi="宋体"/>
          <w:color w:val="auto"/>
          <w:szCs w:val="21"/>
          <w:highlight w:val="none"/>
        </w:rPr>
        <w:t>。</w:t>
      </w:r>
    </w:p>
    <w:p w14:paraId="2F2F5F92">
      <w:pPr>
        <w:adjustRightInd w:val="0"/>
        <w:snapToGrid w:val="0"/>
        <w:spacing w:before="50" w:line="360" w:lineRule="auto"/>
        <w:ind w:left="-88" w:leftChars="-42" w:firstLine="420" w:firstLineChars="200"/>
        <w:rPr>
          <w:rFonts w:ascii="宋体" w:hAnsi="宋体"/>
          <w:color w:val="auto"/>
          <w:szCs w:val="21"/>
          <w:highlight w:val="none"/>
        </w:rPr>
      </w:pPr>
      <w:r>
        <w:rPr>
          <w:rFonts w:hint="eastAsia" w:ascii="宋体" w:hAnsi="宋体"/>
          <w:color w:val="auto"/>
          <w:szCs w:val="21"/>
          <w:highlight w:val="none"/>
        </w:rPr>
        <w:t>4.在采购人与成交供应商签订合同时，如成交供应商未在响应文件“合同条款偏离表”中列出偏离说明，无论已发生或即将发生任何情形，均视为完全符合</w:t>
      </w:r>
      <w:r>
        <w:rPr>
          <w:rFonts w:hint="eastAsia" w:ascii="宋体" w:hAnsi="宋体"/>
          <w:color w:val="auto"/>
          <w:szCs w:val="21"/>
          <w:highlight w:val="none"/>
          <w:lang w:eastAsia="zh-CN"/>
        </w:rPr>
        <w:t>竞争性谈判</w:t>
      </w:r>
      <w:r>
        <w:rPr>
          <w:rFonts w:hint="eastAsia" w:ascii="宋体" w:hAnsi="宋体"/>
          <w:color w:val="auto"/>
          <w:szCs w:val="21"/>
          <w:highlight w:val="none"/>
        </w:rPr>
        <w:t>文件要求，并写入合同。若成交供应商在合同签订前，以上述事项为借口而不履行合同签订手续及执行合同，则视作拒绝与采购人签订合同。</w:t>
      </w:r>
    </w:p>
    <w:p w14:paraId="6174B4CE">
      <w:pPr>
        <w:adjustRightInd w:val="0"/>
        <w:snapToGrid w:val="0"/>
        <w:spacing w:before="50" w:line="360" w:lineRule="auto"/>
        <w:rPr>
          <w:rFonts w:ascii="宋体" w:hAnsi="宋体"/>
          <w:color w:val="auto"/>
          <w:szCs w:val="21"/>
          <w:highlight w:val="none"/>
        </w:rPr>
      </w:pPr>
    </w:p>
    <w:p w14:paraId="4A52CECE">
      <w:pPr>
        <w:adjustRightInd w:val="0"/>
        <w:snapToGrid w:val="0"/>
        <w:spacing w:before="50" w:line="360" w:lineRule="auto"/>
        <w:rPr>
          <w:rFonts w:ascii="宋体" w:hAnsi="宋体"/>
          <w:color w:val="auto"/>
          <w:szCs w:val="21"/>
          <w:highlight w:val="none"/>
        </w:rPr>
      </w:pPr>
    </w:p>
    <w:p w14:paraId="151D3F33">
      <w:pPr>
        <w:adjustRightInd w:val="0"/>
        <w:snapToGrid w:val="0"/>
        <w:spacing w:before="50" w:line="360" w:lineRule="auto"/>
        <w:rPr>
          <w:rFonts w:ascii="宋体" w:hAnsi="宋体"/>
          <w:color w:val="auto"/>
          <w:szCs w:val="21"/>
          <w:highlight w:val="none"/>
        </w:rPr>
      </w:pPr>
      <w:r>
        <w:rPr>
          <w:rFonts w:hint="eastAsia" w:ascii="宋体" w:hAnsi="宋体"/>
          <w:color w:val="auto"/>
          <w:szCs w:val="21"/>
          <w:highlight w:val="none"/>
        </w:rPr>
        <w:t>供应商名称（盖单位公章）：</w:t>
      </w:r>
    </w:p>
    <w:p w14:paraId="488585B5">
      <w:pPr>
        <w:adjustRightInd w:val="0"/>
        <w:snapToGrid w:val="0"/>
        <w:spacing w:before="50" w:line="360" w:lineRule="auto"/>
        <w:rPr>
          <w:rFonts w:ascii="宋体" w:hAnsi="宋体"/>
          <w:color w:val="auto"/>
          <w:szCs w:val="21"/>
          <w:highlight w:val="none"/>
        </w:rPr>
      </w:pPr>
      <w:r>
        <w:rPr>
          <w:rFonts w:hint="eastAsia" w:ascii="宋体" w:hAnsi="宋体" w:cs="微软雅黑"/>
          <w:color w:val="auto"/>
          <w:spacing w:val="-2"/>
          <w:kern w:val="0"/>
          <w:szCs w:val="21"/>
          <w:highlight w:val="none"/>
        </w:rPr>
        <w:t>法</w:t>
      </w:r>
      <w:r>
        <w:rPr>
          <w:rFonts w:hint="eastAsia" w:ascii="宋体" w:hAnsi="宋体" w:cs="微软雅黑"/>
          <w:color w:val="auto"/>
          <w:kern w:val="0"/>
          <w:szCs w:val="21"/>
          <w:highlight w:val="none"/>
        </w:rPr>
        <w:t>定</w:t>
      </w:r>
      <w:r>
        <w:rPr>
          <w:rFonts w:hint="eastAsia" w:ascii="宋体" w:hAnsi="宋体" w:cs="微软雅黑"/>
          <w:color w:val="auto"/>
          <w:spacing w:val="-2"/>
          <w:kern w:val="0"/>
          <w:szCs w:val="21"/>
          <w:highlight w:val="none"/>
        </w:rPr>
        <w:t>代</w:t>
      </w:r>
      <w:r>
        <w:rPr>
          <w:rFonts w:hint="eastAsia" w:ascii="宋体" w:hAnsi="宋体" w:cs="微软雅黑"/>
          <w:color w:val="auto"/>
          <w:kern w:val="0"/>
          <w:szCs w:val="21"/>
          <w:highlight w:val="none"/>
        </w:rPr>
        <w:t>表</w:t>
      </w:r>
      <w:r>
        <w:rPr>
          <w:rFonts w:hint="eastAsia" w:ascii="宋体" w:hAnsi="宋体" w:cs="微软雅黑"/>
          <w:color w:val="auto"/>
          <w:spacing w:val="-2"/>
          <w:kern w:val="0"/>
          <w:szCs w:val="21"/>
          <w:highlight w:val="none"/>
        </w:rPr>
        <w:t>人</w:t>
      </w:r>
      <w:r>
        <w:rPr>
          <w:rFonts w:hint="eastAsia" w:ascii="宋体" w:hAnsi="宋体" w:cs="微软雅黑"/>
          <w:color w:val="auto"/>
          <w:kern w:val="0"/>
          <w:szCs w:val="21"/>
          <w:highlight w:val="none"/>
        </w:rPr>
        <w:t>（</w:t>
      </w:r>
      <w:r>
        <w:rPr>
          <w:rFonts w:hint="eastAsia" w:ascii="宋体" w:hAnsi="宋体" w:cs="微软雅黑"/>
          <w:color w:val="auto"/>
          <w:spacing w:val="-2"/>
          <w:kern w:val="0"/>
          <w:szCs w:val="21"/>
          <w:highlight w:val="none"/>
        </w:rPr>
        <w:t>单</w:t>
      </w:r>
      <w:r>
        <w:rPr>
          <w:rFonts w:hint="eastAsia" w:ascii="宋体" w:hAnsi="宋体" w:cs="微软雅黑"/>
          <w:color w:val="auto"/>
          <w:kern w:val="0"/>
          <w:szCs w:val="21"/>
          <w:highlight w:val="none"/>
        </w:rPr>
        <w:t>位</w:t>
      </w:r>
      <w:r>
        <w:rPr>
          <w:rFonts w:hint="eastAsia" w:ascii="宋体" w:hAnsi="宋体" w:cs="微软雅黑"/>
          <w:color w:val="auto"/>
          <w:spacing w:val="-2"/>
          <w:kern w:val="0"/>
          <w:szCs w:val="21"/>
          <w:highlight w:val="none"/>
        </w:rPr>
        <w:t>负</w:t>
      </w:r>
      <w:r>
        <w:rPr>
          <w:rFonts w:hint="eastAsia" w:ascii="宋体" w:hAnsi="宋体" w:cs="微软雅黑"/>
          <w:color w:val="auto"/>
          <w:kern w:val="0"/>
          <w:szCs w:val="21"/>
          <w:highlight w:val="none"/>
        </w:rPr>
        <w:t>责人</w:t>
      </w:r>
      <w:r>
        <w:rPr>
          <w:rFonts w:hint="eastAsia" w:ascii="宋体" w:hAnsi="宋体" w:cs="微软雅黑"/>
          <w:color w:val="auto"/>
          <w:spacing w:val="-2"/>
          <w:kern w:val="0"/>
          <w:szCs w:val="21"/>
          <w:highlight w:val="none"/>
        </w:rPr>
        <w:t>）</w:t>
      </w:r>
      <w:r>
        <w:rPr>
          <w:rFonts w:hint="eastAsia" w:ascii="宋体" w:hAnsi="宋体"/>
          <w:color w:val="auto"/>
          <w:szCs w:val="21"/>
          <w:highlight w:val="none"/>
        </w:rPr>
        <w:t>或其授权的代理人（签字或印章）：</w:t>
      </w:r>
    </w:p>
    <w:p w14:paraId="7133C554">
      <w:pPr>
        <w:rPr>
          <w:color w:val="auto"/>
          <w:highlight w:val="none"/>
        </w:rPr>
      </w:pPr>
      <w:r>
        <w:rPr>
          <w:rFonts w:hint="eastAsia"/>
          <w:color w:val="auto"/>
          <w:highlight w:val="none"/>
        </w:rPr>
        <w:t>日期：    年    月     日</w:t>
      </w:r>
    </w:p>
    <w:p w14:paraId="38F441BA">
      <w:pPr>
        <w:keepNext/>
        <w:keepLines/>
        <w:spacing w:line="360" w:lineRule="auto"/>
        <w:jc w:val="center"/>
        <w:outlineLvl w:val="1"/>
        <w:rPr>
          <w:rFonts w:ascii="黑体" w:hAnsi="Arial" w:eastAsia="黑体"/>
          <w:b/>
          <w:bCs/>
          <w:color w:val="auto"/>
          <w:sz w:val="28"/>
          <w:szCs w:val="28"/>
          <w:highlight w:val="none"/>
        </w:rPr>
      </w:pPr>
      <w:r>
        <w:rPr>
          <w:rFonts w:ascii="黑体" w:hAnsi="Arial" w:eastAsia="黑体"/>
          <w:b/>
          <w:bCs/>
          <w:color w:val="auto"/>
          <w:sz w:val="28"/>
          <w:szCs w:val="28"/>
          <w:highlight w:val="none"/>
        </w:rPr>
        <w:br w:type="page"/>
      </w:r>
      <w:bookmarkStart w:id="43" w:name="_Toc22201160"/>
      <w:bookmarkStart w:id="44" w:name="_Toc107998048"/>
      <w:bookmarkStart w:id="45" w:name="_Toc1667"/>
      <w:bookmarkStart w:id="46" w:name="_Toc1639"/>
      <w:r>
        <w:rPr>
          <w:rFonts w:hint="eastAsia" w:ascii="黑体" w:hAnsi="Arial" w:eastAsia="黑体"/>
          <w:b/>
          <w:bCs/>
          <w:color w:val="auto"/>
          <w:sz w:val="28"/>
          <w:szCs w:val="28"/>
          <w:highlight w:val="none"/>
          <w:lang w:eastAsia="zh-CN"/>
        </w:rPr>
        <w:t>七</w:t>
      </w:r>
      <w:r>
        <w:rPr>
          <w:rFonts w:hint="eastAsia" w:ascii="黑体" w:hAnsi="Arial" w:eastAsia="黑体"/>
          <w:b/>
          <w:bCs/>
          <w:color w:val="auto"/>
          <w:sz w:val="28"/>
          <w:szCs w:val="28"/>
          <w:highlight w:val="none"/>
        </w:rPr>
        <w:t>、采购需求偏离表</w:t>
      </w:r>
      <w:bookmarkEnd w:id="43"/>
      <w:bookmarkEnd w:id="44"/>
      <w:bookmarkEnd w:id="45"/>
      <w:bookmarkEnd w:id="46"/>
    </w:p>
    <w:p w14:paraId="2455F02D">
      <w:pPr>
        <w:adjustRightInd w:val="0"/>
        <w:snapToGrid w:val="0"/>
        <w:spacing w:before="156" w:beforeLines="50" w:line="360" w:lineRule="auto"/>
        <w:rPr>
          <w:rFonts w:ascii="宋体" w:hAnsi="宋体"/>
          <w:color w:val="auto"/>
          <w:szCs w:val="21"/>
          <w:highlight w:val="none"/>
        </w:rPr>
      </w:pPr>
      <w:r>
        <w:rPr>
          <w:rFonts w:hint="eastAsia" w:ascii="宋体" w:hAnsi="宋体"/>
          <w:color w:val="auto"/>
          <w:szCs w:val="21"/>
          <w:highlight w:val="none"/>
        </w:rPr>
        <w:t>采购代理编号：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项目名称：</w:t>
      </w:r>
      <w:r>
        <w:rPr>
          <w:rFonts w:hint="eastAsia" w:ascii="宋体" w:hAnsi="宋体"/>
          <w:color w:val="auto"/>
          <w:szCs w:val="21"/>
          <w:highlight w:val="none"/>
          <w:u w:val="single"/>
        </w:rPr>
        <w:t xml:space="preserve">                        </w:t>
      </w:r>
    </w:p>
    <w:tbl>
      <w:tblPr>
        <w:tblStyle w:val="20"/>
        <w:tblW w:w="901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737"/>
        <w:gridCol w:w="2410"/>
        <w:gridCol w:w="1985"/>
        <w:gridCol w:w="2126"/>
        <w:gridCol w:w="1756"/>
      </w:tblGrid>
      <w:tr w14:paraId="10D1D6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737" w:type="dxa"/>
            <w:vAlign w:val="center"/>
          </w:tcPr>
          <w:p w14:paraId="1D313EAF">
            <w:pPr>
              <w:adjustRightInd w:val="0"/>
              <w:snapToGrid w:val="0"/>
              <w:spacing w:before="50" w:line="360" w:lineRule="auto"/>
              <w:ind w:left="-88" w:leftChars="-42"/>
              <w:jc w:val="center"/>
              <w:rPr>
                <w:rFonts w:ascii="宋体" w:hAnsi="宋体"/>
                <w:color w:val="auto"/>
                <w:szCs w:val="21"/>
                <w:highlight w:val="none"/>
              </w:rPr>
            </w:pPr>
            <w:r>
              <w:rPr>
                <w:rFonts w:hint="eastAsia" w:ascii="宋体" w:hAnsi="宋体"/>
                <w:bCs/>
                <w:color w:val="auto"/>
                <w:szCs w:val="21"/>
                <w:highlight w:val="none"/>
              </w:rPr>
              <w:t>序</w:t>
            </w:r>
            <w:r>
              <w:rPr>
                <w:rFonts w:hint="eastAsia" w:ascii="宋体" w:hAnsi="宋体"/>
                <w:color w:val="auto"/>
                <w:szCs w:val="21"/>
                <w:highlight w:val="none"/>
              </w:rPr>
              <w:t>号</w:t>
            </w:r>
          </w:p>
        </w:tc>
        <w:tc>
          <w:tcPr>
            <w:tcW w:w="2410" w:type="dxa"/>
            <w:vAlign w:val="center"/>
          </w:tcPr>
          <w:p w14:paraId="0E5097AD">
            <w:pPr>
              <w:adjustRightInd w:val="0"/>
              <w:snapToGrid w:val="0"/>
              <w:spacing w:before="50" w:line="360" w:lineRule="auto"/>
              <w:ind w:left="-88" w:leftChars="-42"/>
              <w:jc w:val="center"/>
              <w:rPr>
                <w:rFonts w:ascii="宋体" w:hAnsi="宋体"/>
                <w:color w:val="auto"/>
                <w:szCs w:val="21"/>
                <w:highlight w:val="none"/>
              </w:rPr>
            </w:pPr>
            <w:r>
              <w:rPr>
                <w:rFonts w:hint="eastAsia" w:ascii="宋体" w:hAnsi="宋体"/>
                <w:color w:val="auto"/>
                <w:szCs w:val="21"/>
                <w:highlight w:val="none"/>
                <w:lang w:eastAsia="zh-CN"/>
              </w:rPr>
              <w:t>竞争性谈判</w:t>
            </w:r>
            <w:r>
              <w:rPr>
                <w:rFonts w:hint="eastAsia" w:ascii="宋体" w:hAnsi="宋体"/>
                <w:color w:val="auto"/>
                <w:szCs w:val="21"/>
                <w:highlight w:val="none"/>
              </w:rPr>
              <w:t>文件章节</w:t>
            </w:r>
            <w:r>
              <w:rPr>
                <w:rFonts w:hint="eastAsia" w:ascii="宋体" w:hAnsi="宋体"/>
                <w:bCs/>
                <w:color w:val="auto"/>
                <w:szCs w:val="21"/>
                <w:highlight w:val="none"/>
              </w:rPr>
              <w:t>条</w:t>
            </w:r>
            <w:r>
              <w:rPr>
                <w:rFonts w:hint="eastAsia" w:ascii="宋体" w:hAnsi="宋体"/>
                <w:color w:val="auto"/>
                <w:szCs w:val="21"/>
                <w:highlight w:val="none"/>
              </w:rPr>
              <w:t>款号</w:t>
            </w:r>
          </w:p>
        </w:tc>
        <w:tc>
          <w:tcPr>
            <w:tcW w:w="1985" w:type="dxa"/>
            <w:tcBorders>
              <w:right w:val="single" w:color="auto" w:sz="4" w:space="0"/>
            </w:tcBorders>
          </w:tcPr>
          <w:p w14:paraId="4133A07A">
            <w:pPr>
              <w:adjustRightInd w:val="0"/>
              <w:snapToGrid w:val="0"/>
              <w:spacing w:before="50" w:line="360" w:lineRule="auto"/>
              <w:jc w:val="center"/>
              <w:rPr>
                <w:color w:val="auto"/>
                <w:highlight w:val="none"/>
              </w:rPr>
            </w:pPr>
            <w:r>
              <w:rPr>
                <w:rFonts w:hint="eastAsia" w:ascii="宋体" w:hAnsi="宋体"/>
                <w:color w:val="auto"/>
                <w:szCs w:val="21"/>
                <w:highlight w:val="none"/>
                <w:lang w:eastAsia="zh-CN"/>
              </w:rPr>
              <w:t>竞争性谈判</w:t>
            </w:r>
            <w:r>
              <w:rPr>
                <w:rFonts w:hint="eastAsia"/>
                <w:color w:val="auto"/>
                <w:highlight w:val="none"/>
              </w:rPr>
              <w:t>文件要求</w:t>
            </w:r>
          </w:p>
        </w:tc>
        <w:tc>
          <w:tcPr>
            <w:tcW w:w="2126" w:type="dxa"/>
            <w:tcBorders>
              <w:left w:val="single" w:color="auto" w:sz="4" w:space="0"/>
            </w:tcBorders>
          </w:tcPr>
          <w:p w14:paraId="05C7AA37">
            <w:pPr>
              <w:adjustRightInd w:val="0"/>
              <w:snapToGrid w:val="0"/>
              <w:spacing w:before="50" w:line="360" w:lineRule="auto"/>
              <w:jc w:val="center"/>
              <w:rPr>
                <w:color w:val="auto"/>
                <w:highlight w:val="none"/>
              </w:rPr>
            </w:pPr>
            <w:r>
              <w:rPr>
                <w:rFonts w:hint="eastAsia" w:ascii="宋体" w:hAnsi="宋体"/>
                <w:color w:val="auto"/>
                <w:szCs w:val="21"/>
                <w:highlight w:val="none"/>
              </w:rPr>
              <w:t>响应</w:t>
            </w:r>
            <w:r>
              <w:rPr>
                <w:rFonts w:hint="eastAsia"/>
                <w:color w:val="auto"/>
                <w:highlight w:val="none"/>
              </w:rPr>
              <w:t>文件应答</w:t>
            </w:r>
          </w:p>
        </w:tc>
        <w:tc>
          <w:tcPr>
            <w:tcW w:w="1756" w:type="dxa"/>
            <w:vAlign w:val="center"/>
          </w:tcPr>
          <w:p w14:paraId="6FE09A77">
            <w:pPr>
              <w:adjustRightInd w:val="0"/>
              <w:snapToGrid w:val="0"/>
              <w:spacing w:before="50" w:line="360" w:lineRule="auto"/>
              <w:ind w:left="-88" w:leftChars="-42"/>
              <w:jc w:val="center"/>
              <w:rPr>
                <w:rFonts w:ascii="宋体" w:hAnsi="宋体"/>
                <w:color w:val="auto"/>
                <w:szCs w:val="21"/>
                <w:highlight w:val="none"/>
              </w:rPr>
            </w:pPr>
            <w:r>
              <w:rPr>
                <w:rFonts w:hint="eastAsia" w:ascii="宋体" w:hAnsi="宋体"/>
                <w:color w:val="auto"/>
                <w:szCs w:val="21"/>
                <w:highlight w:val="none"/>
              </w:rPr>
              <w:t>偏离说明</w:t>
            </w:r>
          </w:p>
        </w:tc>
      </w:tr>
      <w:tr w14:paraId="4F58E5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19CF288A">
            <w:pPr>
              <w:adjustRightInd w:val="0"/>
              <w:snapToGrid w:val="0"/>
              <w:spacing w:before="50" w:line="360" w:lineRule="auto"/>
              <w:ind w:left="-88" w:leftChars="-42"/>
              <w:jc w:val="center"/>
              <w:rPr>
                <w:rFonts w:ascii="宋体" w:hAnsi="宋体"/>
                <w:color w:val="auto"/>
                <w:szCs w:val="21"/>
                <w:highlight w:val="none"/>
              </w:rPr>
            </w:pPr>
          </w:p>
        </w:tc>
        <w:tc>
          <w:tcPr>
            <w:tcW w:w="2410" w:type="dxa"/>
            <w:vAlign w:val="center"/>
          </w:tcPr>
          <w:p w14:paraId="2CECC19E">
            <w:pPr>
              <w:adjustRightInd w:val="0"/>
              <w:snapToGrid w:val="0"/>
              <w:spacing w:before="50" w:line="360" w:lineRule="auto"/>
              <w:ind w:left="-88" w:leftChars="-42"/>
              <w:jc w:val="center"/>
              <w:rPr>
                <w:rFonts w:ascii="宋体" w:hAnsi="宋体"/>
                <w:color w:val="auto"/>
                <w:szCs w:val="21"/>
                <w:highlight w:val="none"/>
              </w:rPr>
            </w:pPr>
          </w:p>
        </w:tc>
        <w:tc>
          <w:tcPr>
            <w:tcW w:w="1985" w:type="dxa"/>
            <w:tcBorders>
              <w:right w:val="single" w:color="auto" w:sz="4" w:space="0"/>
            </w:tcBorders>
            <w:vAlign w:val="center"/>
          </w:tcPr>
          <w:p w14:paraId="2939F135">
            <w:pPr>
              <w:adjustRightInd w:val="0"/>
              <w:snapToGrid w:val="0"/>
              <w:spacing w:before="50" w:line="360" w:lineRule="auto"/>
              <w:ind w:left="-88" w:leftChars="-42"/>
              <w:jc w:val="center"/>
              <w:rPr>
                <w:rFonts w:ascii="宋体" w:hAnsi="宋体"/>
                <w:color w:val="auto"/>
                <w:szCs w:val="21"/>
                <w:highlight w:val="none"/>
              </w:rPr>
            </w:pPr>
          </w:p>
        </w:tc>
        <w:tc>
          <w:tcPr>
            <w:tcW w:w="2126" w:type="dxa"/>
            <w:tcBorders>
              <w:left w:val="single" w:color="auto" w:sz="4" w:space="0"/>
            </w:tcBorders>
            <w:vAlign w:val="center"/>
          </w:tcPr>
          <w:p w14:paraId="3749E8D2">
            <w:pPr>
              <w:adjustRightInd w:val="0"/>
              <w:snapToGrid w:val="0"/>
              <w:spacing w:before="50" w:line="360" w:lineRule="auto"/>
              <w:ind w:left="-88" w:leftChars="-42"/>
              <w:jc w:val="center"/>
              <w:rPr>
                <w:rFonts w:ascii="宋体" w:hAnsi="宋体"/>
                <w:color w:val="auto"/>
                <w:szCs w:val="21"/>
                <w:highlight w:val="none"/>
              </w:rPr>
            </w:pPr>
          </w:p>
        </w:tc>
        <w:tc>
          <w:tcPr>
            <w:tcW w:w="1756" w:type="dxa"/>
            <w:vAlign w:val="center"/>
          </w:tcPr>
          <w:p w14:paraId="3F2C9815">
            <w:pPr>
              <w:adjustRightInd w:val="0"/>
              <w:snapToGrid w:val="0"/>
              <w:spacing w:before="50" w:line="360" w:lineRule="auto"/>
              <w:ind w:left="-88" w:leftChars="-42"/>
              <w:jc w:val="center"/>
              <w:rPr>
                <w:rFonts w:ascii="宋体" w:hAnsi="宋体"/>
                <w:color w:val="auto"/>
                <w:szCs w:val="21"/>
                <w:highlight w:val="none"/>
              </w:rPr>
            </w:pPr>
          </w:p>
        </w:tc>
      </w:tr>
      <w:tr w14:paraId="419728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0613BF78">
            <w:pPr>
              <w:adjustRightInd w:val="0"/>
              <w:snapToGrid w:val="0"/>
              <w:spacing w:before="50" w:line="360" w:lineRule="auto"/>
              <w:ind w:left="-88" w:leftChars="-42"/>
              <w:jc w:val="center"/>
              <w:rPr>
                <w:rFonts w:ascii="宋体" w:hAnsi="宋体"/>
                <w:color w:val="auto"/>
                <w:szCs w:val="21"/>
                <w:highlight w:val="none"/>
              </w:rPr>
            </w:pPr>
          </w:p>
        </w:tc>
        <w:tc>
          <w:tcPr>
            <w:tcW w:w="2410" w:type="dxa"/>
            <w:vAlign w:val="center"/>
          </w:tcPr>
          <w:p w14:paraId="6F2595BA">
            <w:pPr>
              <w:adjustRightInd w:val="0"/>
              <w:snapToGrid w:val="0"/>
              <w:spacing w:before="50" w:line="360" w:lineRule="auto"/>
              <w:ind w:left="-88" w:leftChars="-42"/>
              <w:jc w:val="center"/>
              <w:rPr>
                <w:rFonts w:ascii="宋体" w:hAnsi="宋体"/>
                <w:color w:val="auto"/>
                <w:szCs w:val="21"/>
                <w:highlight w:val="none"/>
              </w:rPr>
            </w:pPr>
          </w:p>
        </w:tc>
        <w:tc>
          <w:tcPr>
            <w:tcW w:w="1985" w:type="dxa"/>
            <w:tcBorders>
              <w:right w:val="single" w:color="auto" w:sz="4" w:space="0"/>
            </w:tcBorders>
            <w:vAlign w:val="center"/>
          </w:tcPr>
          <w:p w14:paraId="47C7488C">
            <w:pPr>
              <w:adjustRightInd w:val="0"/>
              <w:snapToGrid w:val="0"/>
              <w:spacing w:before="50" w:line="360" w:lineRule="auto"/>
              <w:ind w:left="-88" w:leftChars="-42"/>
              <w:jc w:val="center"/>
              <w:rPr>
                <w:rFonts w:ascii="宋体" w:hAnsi="宋体"/>
                <w:color w:val="auto"/>
                <w:szCs w:val="21"/>
                <w:highlight w:val="none"/>
              </w:rPr>
            </w:pPr>
          </w:p>
        </w:tc>
        <w:tc>
          <w:tcPr>
            <w:tcW w:w="2126" w:type="dxa"/>
            <w:tcBorders>
              <w:left w:val="single" w:color="auto" w:sz="4" w:space="0"/>
            </w:tcBorders>
            <w:vAlign w:val="center"/>
          </w:tcPr>
          <w:p w14:paraId="55C06C39">
            <w:pPr>
              <w:adjustRightInd w:val="0"/>
              <w:snapToGrid w:val="0"/>
              <w:spacing w:before="50" w:line="360" w:lineRule="auto"/>
              <w:ind w:left="-88" w:leftChars="-42"/>
              <w:jc w:val="center"/>
              <w:rPr>
                <w:rFonts w:ascii="宋体" w:hAnsi="宋体"/>
                <w:color w:val="auto"/>
                <w:szCs w:val="21"/>
                <w:highlight w:val="none"/>
              </w:rPr>
            </w:pPr>
          </w:p>
        </w:tc>
        <w:tc>
          <w:tcPr>
            <w:tcW w:w="1756" w:type="dxa"/>
            <w:vAlign w:val="center"/>
          </w:tcPr>
          <w:p w14:paraId="31149498">
            <w:pPr>
              <w:adjustRightInd w:val="0"/>
              <w:snapToGrid w:val="0"/>
              <w:spacing w:before="50" w:line="360" w:lineRule="auto"/>
              <w:ind w:left="-88" w:leftChars="-42"/>
              <w:jc w:val="center"/>
              <w:rPr>
                <w:rFonts w:ascii="宋体" w:hAnsi="宋体"/>
                <w:color w:val="auto"/>
                <w:szCs w:val="21"/>
                <w:highlight w:val="none"/>
              </w:rPr>
            </w:pPr>
          </w:p>
        </w:tc>
      </w:tr>
      <w:tr w14:paraId="444266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319AD40D">
            <w:pPr>
              <w:adjustRightInd w:val="0"/>
              <w:snapToGrid w:val="0"/>
              <w:spacing w:before="50" w:line="360" w:lineRule="auto"/>
              <w:ind w:left="-88" w:leftChars="-42"/>
              <w:jc w:val="center"/>
              <w:rPr>
                <w:rFonts w:ascii="宋体" w:hAnsi="宋体"/>
                <w:color w:val="auto"/>
                <w:szCs w:val="21"/>
                <w:highlight w:val="none"/>
              </w:rPr>
            </w:pPr>
          </w:p>
        </w:tc>
        <w:tc>
          <w:tcPr>
            <w:tcW w:w="2410" w:type="dxa"/>
            <w:vAlign w:val="center"/>
          </w:tcPr>
          <w:p w14:paraId="689166BB">
            <w:pPr>
              <w:adjustRightInd w:val="0"/>
              <w:snapToGrid w:val="0"/>
              <w:spacing w:before="50" w:line="360" w:lineRule="auto"/>
              <w:ind w:left="-88" w:leftChars="-42"/>
              <w:jc w:val="center"/>
              <w:rPr>
                <w:rFonts w:ascii="宋体" w:hAnsi="宋体"/>
                <w:color w:val="auto"/>
                <w:szCs w:val="21"/>
                <w:highlight w:val="none"/>
              </w:rPr>
            </w:pPr>
          </w:p>
        </w:tc>
        <w:tc>
          <w:tcPr>
            <w:tcW w:w="1985" w:type="dxa"/>
            <w:tcBorders>
              <w:right w:val="single" w:color="auto" w:sz="4" w:space="0"/>
            </w:tcBorders>
            <w:vAlign w:val="center"/>
          </w:tcPr>
          <w:p w14:paraId="6F8CDFE1">
            <w:pPr>
              <w:adjustRightInd w:val="0"/>
              <w:snapToGrid w:val="0"/>
              <w:spacing w:before="50" w:line="360" w:lineRule="auto"/>
              <w:ind w:left="-88" w:leftChars="-42"/>
              <w:jc w:val="center"/>
              <w:rPr>
                <w:rFonts w:ascii="宋体" w:hAnsi="宋体"/>
                <w:color w:val="auto"/>
                <w:szCs w:val="21"/>
                <w:highlight w:val="none"/>
              </w:rPr>
            </w:pPr>
          </w:p>
        </w:tc>
        <w:tc>
          <w:tcPr>
            <w:tcW w:w="2126" w:type="dxa"/>
            <w:tcBorders>
              <w:left w:val="single" w:color="auto" w:sz="4" w:space="0"/>
            </w:tcBorders>
            <w:vAlign w:val="center"/>
          </w:tcPr>
          <w:p w14:paraId="1C98C346">
            <w:pPr>
              <w:adjustRightInd w:val="0"/>
              <w:snapToGrid w:val="0"/>
              <w:spacing w:before="50" w:line="360" w:lineRule="auto"/>
              <w:ind w:left="-88" w:leftChars="-42"/>
              <w:jc w:val="center"/>
              <w:rPr>
                <w:rFonts w:ascii="宋体" w:hAnsi="宋体"/>
                <w:color w:val="auto"/>
                <w:szCs w:val="21"/>
                <w:highlight w:val="none"/>
              </w:rPr>
            </w:pPr>
          </w:p>
        </w:tc>
        <w:tc>
          <w:tcPr>
            <w:tcW w:w="1756" w:type="dxa"/>
            <w:vAlign w:val="center"/>
          </w:tcPr>
          <w:p w14:paraId="5B01EEE3">
            <w:pPr>
              <w:adjustRightInd w:val="0"/>
              <w:snapToGrid w:val="0"/>
              <w:spacing w:before="50" w:line="360" w:lineRule="auto"/>
              <w:ind w:left="-88" w:leftChars="-42"/>
              <w:jc w:val="center"/>
              <w:rPr>
                <w:rFonts w:ascii="宋体" w:hAnsi="宋体"/>
                <w:color w:val="auto"/>
                <w:szCs w:val="21"/>
                <w:highlight w:val="none"/>
              </w:rPr>
            </w:pPr>
          </w:p>
        </w:tc>
      </w:tr>
      <w:tr w14:paraId="288156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5C64A773">
            <w:pPr>
              <w:adjustRightInd w:val="0"/>
              <w:snapToGrid w:val="0"/>
              <w:spacing w:before="50" w:line="360" w:lineRule="auto"/>
              <w:ind w:left="-88" w:leftChars="-42"/>
              <w:jc w:val="center"/>
              <w:rPr>
                <w:rFonts w:ascii="宋体" w:hAnsi="宋体"/>
                <w:color w:val="auto"/>
                <w:szCs w:val="21"/>
                <w:highlight w:val="none"/>
              </w:rPr>
            </w:pPr>
          </w:p>
        </w:tc>
        <w:tc>
          <w:tcPr>
            <w:tcW w:w="2410" w:type="dxa"/>
            <w:vAlign w:val="center"/>
          </w:tcPr>
          <w:p w14:paraId="2C54FD70">
            <w:pPr>
              <w:adjustRightInd w:val="0"/>
              <w:snapToGrid w:val="0"/>
              <w:spacing w:before="50" w:line="360" w:lineRule="auto"/>
              <w:ind w:left="-88" w:leftChars="-42"/>
              <w:jc w:val="center"/>
              <w:rPr>
                <w:rFonts w:ascii="宋体" w:hAnsi="宋体"/>
                <w:color w:val="auto"/>
                <w:szCs w:val="21"/>
                <w:highlight w:val="none"/>
              </w:rPr>
            </w:pPr>
          </w:p>
        </w:tc>
        <w:tc>
          <w:tcPr>
            <w:tcW w:w="1985" w:type="dxa"/>
            <w:tcBorders>
              <w:right w:val="single" w:color="auto" w:sz="4" w:space="0"/>
            </w:tcBorders>
            <w:vAlign w:val="center"/>
          </w:tcPr>
          <w:p w14:paraId="5F3A1A34">
            <w:pPr>
              <w:adjustRightInd w:val="0"/>
              <w:snapToGrid w:val="0"/>
              <w:spacing w:before="50" w:line="360" w:lineRule="auto"/>
              <w:ind w:left="-88" w:leftChars="-42"/>
              <w:jc w:val="center"/>
              <w:rPr>
                <w:rFonts w:ascii="宋体" w:hAnsi="宋体"/>
                <w:color w:val="auto"/>
                <w:szCs w:val="21"/>
                <w:highlight w:val="none"/>
              </w:rPr>
            </w:pPr>
          </w:p>
        </w:tc>
        <w:tc>
          <w:tcPr>
            <w:tcW w:w="2126" w:type="dxa"/>
            <w:tcBorders>
              <w:left w:val="single" w:color="auto" w:sz="4" w:space="0"/>
            </w:tcBorders>
            <w:vAlign w:val="center"/>
          </w:tcPr>
          <w:p w14:paraId="64C36E3B">
            <w:pPr>
              <w:adjustRightInd w:val="0"/>
              <w:snapToGrid w:val="0"/>
              <w:spacing w:before="50" w:line="360" w:lineRule="auto"/>
              <w:ind w:left="-88" w:leftChars="-42"/>
              <w:jc w:val="center"/>
              <w:rPr>
                <w:rFonts w:ascii="宋体" w:hAnsi="宋体"/>
                <w:color w:val="auto"/>
                <w:szCs w:val="21"/>
                <w:highlight w:val="none"/>
              </w:rPr>
            </w:pPr>
          </w:p>
        </w:tc>
        <w:tc>
          <w:tcPr>
            <w:tcW w:w="1756" w:type="dxa"/>
            <w:vAlign w:val="center"/>
          </w:tcPr>
          <w:p w14:paraId="0620C69B">
            <w:pPr>
              <w:adjustRightInd w:val="0"/>
              <w:snapToGrid w:val="0"/>
              <w:spacing w:before="50" w:line="360" w:lineRule="auto"/>
              <w:ind w:left="-88" w:leftChars="-42"/>
              <w:jc w:val="center"/>
              <w:rPr>
                <w:rFonts w:ascii="宋体" w:hAnsi="宋体"/>
                <w:color w:val="auto"/>
                <w:szCs w:val="21"/>
                <w:highlight w:val="none"/>
              </w:rPr>
            </w:pPr>
          </w:p>
        </w:tc>
      </w:tr>
      <w:tr w14:paraId="4E1160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55AD9AF6">
            <w:pPr>
              <w:adjustRightInd w:val="0"/>
              <w:snapToGrid w:val="0"/>
              <w:spacing w:before="50" w:line="360" w:lineRule="auto"/>
              <w:ind w:left="-88" w:leftChars="-42"/>
              <w:jc w:val="center"/>
              <w:rPr>
                <w:rFonts w:ascii="宋体" w:hAnsi="宋体"/>
                <w:color w:val="auto"/>
                <w:szCs w:val="21"/>
                <w:highlight w:val="none"/>
              </w:rPr>
            </w:pPr>
          </w:p>
        </w:tc>
        <w:tc>
          <w:tcPr>
            <w:tcW w:w="2410" w:type="dxa"/>
            <w:vAlign w:val="center"/>
          </w:tcPr>
          <w:p w14:paraId="0DE65948">
            <w:pPr>
              <w:adjustRightInd w:val="0"/>
              <w:snapToGrid w:val="0"/>
              <w:spacing w:before="50" w:line="360" w:lineRule="auto"/>
              <w:ind w:left="-88" w:leftChars="-42"/>
              <w:jc w:val="center"/>
              <w:rPr>
                <w:rFonts w:ascii="宋体" w:hAnsi="宋体"/>
                <w:color w:val="auto"/>
                <w:szCs w:val="21"/>
                <w:highlight w:val="none"/>
              </w:rPr>
            </w:pPr>
          </w:p>
        </w:tc>
        <w:tc>
          <w:tcPr>
            <w:tcW w:w="1985" w:type="dxa"/>
            <w:tcBorders>
              <w:right w:val="single" w:color="auto" w:sz="4" w:space="0"/>
            </w:tcBorders>
            <w:vAlign w:val="center"/>
          </w:tcPr>
          <w:p w14:paraId="68805D6F">
            <w:pPr>
              <w:adjustRightInd w:val="0"/>
              <w:snapToGrid w:val="0"/>
              <w:spacing w:before="50" w:line="360" w:lineRule="auto"/>
              <w:ind w:left="-88" w:leftChars="-42"/>
              <w:jc w:val="center"/>
              <w:rPr>
                <w:rFonts w:ascii="宋体" w:hAnsi="宋体"/>
                <w:color w:val="auto"/>
                <w:szCs w:val="21"/>
                <w:highlight w:val="none"/>
              </w:rPr>
            </w:pPr>
          </w:p>
        </w:tc>
        <w:tc>
          <w:tcPr>
            <w:tcW w:w="2126" w:type="dxa"/>
            <w:tcBorders>
              <w:left w:val="single" w:color="auto" w:sz="4" w:space="0"/>
            </w:tcBorders>
            <w:vAlign w:val="center"/>
          </w:tcPr>
          <w:p w14:paraId="4FF4A2C3">
            <w:pPr>
              <w:adjustRightInd w:val="0"/>
              <w:snapToGrid w:val="0"/>
              <w:spacing w:before="50" w:line="360" w:lineRule="auto"/>
              <w:ind w:left="-88" w:leftChars="-42"/>
              <w:jc w:val="center"/>
              <w:rPr>
                <w:rFonts w:ascii="宋体" w:hAnsi="宋体"/>
                <w:color w:val="auto"/>
                <w:szCs w:val="21"/>
                <w:highlight w:val="none"/>
              </w:rPr>
            </w:pPr>
          </w:p>
        </w:tc>
        <w:tc>
          <w:tcPr>
            <w:tcW w:w="1756" w:type="dxa"/>
            <w:vAlign w:val="center"/>
          </w:tcPr>
          <w:p w14:paraId="20405FA7">
            <w:pPr>
              <w:adjustRightInd w:val="0"/>
              <w:snapToGrid w:val="0"/>
              <w:spacing w:before="50" w:line="360" w:lineRule="auto"/>
              <w:ind w:left="-88" w:leftChars="-42"/>
              <w:jc w:val="center"/>
              <w:rPr>
                <w:rFonts w:ascii="宋体" w:hAnsi="宋体"/>
                <w:color w:val="auto"/>
                <w:szCs w:val="21"/>
                <w:highlight w:val="none"/>
              </w:rPr>
            </w:pPr>
          </w:p>
        </w:tc>
      </w:tr>
      <w:tr w14:paraId="24BD17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686B44DD">
            <w:pPr>
              <w:adjustRightInd w:val="0"/>
              <w:snapToGrid w:val="0"/>
              <w:spacing w:before="50" w:line="360" w:lineRule="auto"/>
              <w:ind w:left="-88" w:leftChars="-42"/>
              <w:jc w:val="center"/>
              <w:rPr>
                <w:rFonts w:ascii="宋体" w:hAnsi="宋体"/>
                <w:color w:val="auto"/>
                <w:szCs w:val="21"/>
                <w:highlight w:val="none"/>
              </w:rPr>
            </w:pPr>
          </w:p>
        </w:tc>
        <w:tc>
          <w:tcPr>
            <w:tcW w:w="2410" w:type="dxa"/>
            <w:vAlign w:val="center"/>
          </w:tcPr>
          <w:p w14:paraId="2BFD6D98">
            <w:pPr>
              <w:adjustRightInd w:val="0"/>
              <w:snapToGrid w:val="0"/>
              <w:spacing w:before="50" w:line="360" w:lineRule="auto"/>
              <w:ind w:left="-88" w:leftChars="-42"/>
              <w:jc w:val="center"/>
              <w:rPr>
                <w:rFonts w:ascii="宋体" w:hAnsi="宋体"/>
                <w:color w:val="auto"/>
                <w:szCs w:val="21"/>
                <w:highlight w:val="none"/>
              </w:rPr>
            </w:pPr>
          </w:p>
        </w:tc>
        <w:tc>
          <w:tcPr>
            <w:tcW w:w="1985" w:type="dxa"/>
            <w:tcBorders>
              <w:right w:val="single" w:color="auto" w:sz="4" w:space="0"/>
            </w:tcBorders>
            <w:vAlign w:val="center"/>
          </w:tcPr>
          <w:p w14:paraId="34A46C30">
            <w:pPr>
              <w:adjustRightInd w:val="0"/>
              <w:snapToGrid w:val="0"/>
              <w:spacing w:before="50" w:line="360" w:lineRule="auto"/>
              <w:ind w:left="-88" w:leftChars="-42"/>
              <w:jc w:val="center"/>
              <w:rPr>
                <w:rFonts w:ascii="宋体" w:hAnsi="宋体"/>
                <w:color w:val="auto"/>
                <w:szCs w:val="21"/>
                <w:highlight w:val="none"/>
              </w:rPr>
            </w:pPr>
          </w:p>
        </w:tc>
        <w:tc>
          <w:tcPr>
            <w:tcW w:w="3882" w:type="dxa"/>
            <w:gridSpan w:val="2"/>
            <w:tcBorders>
              <w:left w:val="single" w:color="auto" w:sz="4" w:space="0"/>
            </w:tcBorders>
            <w:vAlign w:val="center"/>
          </w:tcPr>
          <w:p w14:paraId="19DC032A">
            <w:pPr>
              <w:adjustRightInd w:val="0"/>
              <w:snapToGrid w:val="0"/>
              <w:spacing w:before="50" w:line="360" w:lineRule="auto"/>
              <w:ind w:firstLine="420" w:firstLineChars="200"/>
              <w:rPr>
                <w:rFonts w:ascii="宋体" w:hAnsi="宋体"/>
                <w:color w:val="auto"/>
                <w:szCs w:val="21"/>
                <w:highlight w:val="none"/>
              </w:rPr>
            </w:pPr>
            <w:r>
              <w:rPr>
                <w:rFonts w:hint="eastAsia" w:ascii="宋体" w:hAnsi="宋体"/>
                <w:b/>
                <w:color w:val="auto"/>
                <w:szCs w:val="21"/>
                <w:highlight w:val="none"/>
              </w:rPr>
              <w:t>供应商保证：除本采购需求偏离表列出的偏离外，我单位对</w:t>
            </w:r>
            <w:r>
              <w:rPr>
                <w:rFonts w:hint="eastAsia" w:ascii="宋体" w:hAnsi="宋体"/>
                <w:b/>
                <w:color w:val="auto"/>
                <w:szCs w:val="21"/>
                <w:highlight w:val="none"/>
                <w:lang w:eastAsia="zh-CN"/>
              </w:rPr>
              <w:t>竞争性谈判</w:t>
            </w:r>
            <w:r>
              <w:rPr>
                <w:rFonts w:hint="eastAsia" w:ascii="宋体" w:hAnsi="宋体"/>
                <w:b/>
                <w:color w:val="auto"/>
                <w:szCs w:val="21"/>
                <w:highlight w:val="none"/>
              </w:rPr>
              <w:t>文件的其他采购需求条款完全响应，无偏离。</w:t>
            </w:r>
          </w:p>
        </w:tc>
      </w:tr>
    </w:tbl>
    <w:p w14:paraId="67AB4099">
      <w:pPr>
        <w:adjustRightInd w:val="0"/>
        <w:snapToGrid w:val="0"/>
        <w:spacing w:before="50" w:line="360" w:lineRule="auto"/>
        <w:ind w:left="-88" w:leftChars="-42"/>
        <w:rPr>
          <w:rFonts w:ascii="宋体" w:hAnsi="宋体"/>
          <w:color w:val="auto"/>
          <w:szCs w:val="21"/>
          <w:highlight w:val="none"/>
        </w:rPr>
      </w:pPr>
      <w:r>
        <w:rPr>
          <w:rFonts w:hint="eastAsia" w:ascii="宋体" w:hAnsi="宋体"/>
          <w:bCs/>
          <w:color w:val="auto"/>
          <w:szCs w:val="21"/>
          <w:highlight w:val="none"/>
        </w:rPr>
        <w:t>注：</w:t>
      </w:r>
      <w:r>
        <w:rPr>
          <w:rFonts w:hint="eastAsia" w:ascii="宋体" w:hAnsi="宋体"/>
          <w:color w:val="auto"/>
          <w:szCs w:val="21"/>
          <w:highlight w:val="none"/>
        </w:rPr>
        <w:t>1.供应商应根据</w:t>
      </w:r>
      <w:r>
        <w:rPr>
          <w:rFonts w:hint="eastAsia" w:ascii="宋体" w:hAnsi="宋体"/>
          <w:color w:val="auto"/>
          <w:szCs w:val="21"/>
          <w:highlight w:val="none"/>
          <w:lang w:eastAsia="zh-CN"/>
        </w:rPr>
        <w:t>竞争性谈判</w:t>
      </w:r>
      <w:r>
        <w:rPr>
          <w:rFonts w:hint="eastAsia" w:ascii="宋体" w:hAnsi="宋体"/>
          <w:color w:val="auto"/>
          <w:szCs w:val="21"/>
          <w:highlight w:val="none"/>
        </w:rPr>
        <w:t>文件第三章“采购需求”填写本表；</w:t>
      </w:r>
    </w:p>
    <w:p w14:paraId="79CAC5BD">
      <w:pPr>
        <w:adjustRightInd w:val="0"/>
        <w:snapToGrid w:val="0"/>
        <w:spacing w:before="50" w:line="360" w:lineRule="auto"/>
        <w:ind w:left="-88" w:leftChars="-42" w:firstLine="420" w:firstLineChars="200"/>
        <w:rPr>
          <w:rFonts w:ascii="宋体" w:hAnsi="宋体"/>
          <w:b/>
          <w:color w:val="auto"/>
          <w:szCs w:val="21"/>
          <w:highlight w:val="none"/>
        </w:rPr>
      </w:pPr>
      <w:r>
        <w:rPr>
          <w:rFonts w:hint="eastAsia" w:ascii="宋体" w:hAnsi="宋体"/>
          <w:color w:val="auto"/>
          <w:szCs w:val="21"/>
          <w:highlight w:val="none"/>
        </w:rPr>
        <w:t>2.</w:t>
      </w:r>
      <w:r>
        <w:rPr>
          <w:rFonts w:hint="eastAsia" w:ascii="宋体" w:hAnsi="宋体"/>
          <w:b/>
          <w:color w:val="auto"/>
          <w:szCs w:val="21"/>
          <w:highlight w:val="none"/>
        </w:rPr>
        <w:t>供应商如果对</w:t>
      </w:r>
      <w:r>
        <w:rPr>
          <w:rFonts w:hint="eastAsia" w:ascii="宋体" w:hAnsi="宋体"/>
          <w:b/>
          <w:color w:val="auto"/>
          <w:szCs w:val="21"/>
          <w:highlight w:val="none"/>
          <w:lang w:eastAsia="zh-CN"/>
        </w:rPr>
        <w:t>竞争性谈判</w:t>
      </w:r>
      <w:r>
        <w:rPr>
          <w:rFonts w:hint="eastAsia" w:ascii="宋体" w:hAnsi="宋体"/>
          <w:b/>
          <w:color w:val="auto"/>
          <w:szCs w:val="21"/>
          <w:highlight w:val="none"/>
        </w:rPr>
        <w:t>文件第三章“采购需求”的响应有偏离，应将偏离条款逐条如实应答，并作出说明；</w:t>
      </w:r>
    </w:p>
    <w:p w14:paraId="3CC9435D">
      <w:pPr>
        <w:adjustRightInd w:val="0"/>
        <w:snapToGrid w:val="0"/>
        <w:spacing w:before="50" w:line="360" w:lineRule="auto"/>
        <w:ind w:left="-88" w:leftChars="-42" w:firstLine="420" w:firstLineChars="200"/>
        <w:rPr>
          <w:rFonts w:ascii="宋体" w:hAnsi="宋体"/>
          <w:b/>
          <w:color w:val="auto"/>
          <w:szCs w:val="21"/>
          <w:highlight w:val="none"/>
        </w:rPr>
      </w:pPr>
      <w:r>
        <w:rPr>
          <w:rFonts w:hint="eastAsia" w:ascii="宋体" w:hAnsi="宋体"/>
          <w:b/>
          <w:color w:val="auto"/>
          <w:szCs w:val="21"/>
          <w:highlight w:val="none"/>
        </w:rPr>
        <w:t>3.如不提供此表，则视为供应商不满足</w:t>
      </w:r>
      <w:r>
        <w:rPr>
          <w:rFonts w:hint="eastAsia" w:ascii="宋体" w:hAnsi="宋体"/>
          <w:b/>
          <w:color w:val="auto"/>
          <w:szCs w:val="21"/>
          <w:highlight w:val="none"/>
          <w:lang w:eastAsia="zh-CN"/>
        </w:rPr>
        <w:t>竞争性谈判</w:t>
      </w:r>
      <w:r>
        <w:rPr>
          <w:rFonts w:hint="eastAsia" w:ascii="宋体" w:hAnsi="宋体"/>
          <w:b/>
          <w:color w:val="auto"/>
          <w:szCs w:val="21"/>
          <w:highlight w:val="none"/>
        </w:rPr>
        <w:t>文件第三章的所有条款要求，其响应无效。</w:t>
      </w:r>
    </w:p>
    <w:p w14:paraId="5ECC48EC">
      <w:pPr>
        <w:adjustRightInd w:val="0"/>
        <w:snapToGrid w:val="0"/>
        <w:spacing w:before="50" w:line="360" w:lineRule="auto"/>
        <w:ind w:left="-88" w:leftChars="-42" w:firstLine="420" w:firstLineChars="200"/>
        <w:rPr>
          <w:rFonts w:ascii="宋体" w:hAnsi="宋体"/>
          <w:color w:val="auto"/>
          <w:szCs w:val="21"/>
          <w:highlight w:val="none"/>
        </w:rPr>
      </w:pPr>
      <w:r>
        <w:rPr>
          <w:rFonts w:hint="eastAsia" w:ascii="宋体" w:hAnsi="宋体"/>
          <w:color w:val="auto"/>
          <w:szCs w:val="21"/>
          <w:highlight w:val="none"/>
        </w:rPr>
        <w:t>4.在采购人与成交供应商签订合同时，如成交供应商未在响应文件“采购需求偏离表”中列出偏离说明，无论已发生或即将发生任何情形，均视为完全符合</w:t>
      </w:r>
      <w:r>
        <w:rPr>
          <w:rFonts w:hint="eastAsia" w:ascii="宋体" w:hAnsi="宋体"/>
          <w:color w:val="auto"/>
          <w:szCs w:val="21"/>
          <w:highlight w:val="none"/>
          <w:lang w:eastAsia="zh-CN"/>
        </w:rPr>
        <w:t>竞争性谈判</w:t>
      </w:r>
      <w:r>
        <w:rPr>
          <w:rFonts w:hint="eastAsia" w:ascii="宋体" w:hAnsi="宋体"/>
          <w:color w:val="auto"/>
          <w:szCs w:val="21"/>
          <w:highlight w:val="none"/>
        </w:rPr>
        <w:t>文件要求，并写入合同。若成交供应商在合同签订前，以上述事项为借口而不履行合同签订手续及执行合同，则视作拒绝与采购人签订合同。</w:t>
      </w:r>
    </w:p>
    <w:p w14:paraId="61E0E9A0">
      <w:pPr>
        <w:adjustRightInd w:val="0"/>
        <w:snapToGrid w:val="0"/>
        <w:spacing w:before="50" w:line="360" w:lineRule="auto"/>
        <w:ind w:left="-88" w:leftChars="-42" w:firstLine="420" w:firstLineChars="200"/>
        <w:rPr>
          <w:rFonts w:ascii="宋体" w:hAnsi="宋体"/>
          <w:color w:val="auto"/>
          <w:szCs w:val="21"/>
          <w:highlight w:val="none"/>
        </w:rPr>
      </w:pPr>
      <w:r>
        <w:rPr>
          <w:rFonts w:hint="eastAsia" w:ascii="宋体" w:hAnsi="宋体"/>
          <w:color w:val="auto"/>
          <w:szCs w:val="21"/>
          <w:highlight w:val="none"/>
        </w:rPr>
        <w:t>5.本表偏离表与本章第六节“施工组织设计方案说明”不一致时，以“施工组织设计方案说明”为准。</w:t>
      </w:r>
    </w:p>
    <w:p w14:paraId="2C612C9E">
      <w:pPr>
        <w:adjustRightInd w:val="0"/>
        <w:snapToGrid w:val="0"/>
        <w:spacing w:before="50" w:line="360" w:lineRule="auto"/>
        <w:rPr>
          <w:rFonts w:ascii="宋体" w:hAnsi="宋体"/>
          <w:color w:val="auto"/>
          <w:szCs w:val="21"/>
          <w:highlight w:val="none"/>
        </w:rPr>
      </w:pPr>
    </w:p>
    <w:p w14:paraId="2270A4E5">
      <w:pPr>
        <w:adjustRightInd w:val="0"/>
        <w:snapToGrid w:val="0"/>
        <w:spacing w:before="50" w:line="360" w:lineRule="auto"/>
        <w:rPr>
          <w:rFonts w:ascii="宋体" w:hAnsi="宋体"/>
          <w:color w:val="auto"/>
          <w:szCs w:val="21"/>
          <w:highlight w:val="none"/>
        </w:rPr>
      </w:pPr>
    </w:p>
    <w:p w14:paraId="34F8328C">
      <w:pPr>
        <w:adjustRightInd w:val="0"/>
        <w:snapToGrid w:val="0"/>
        <w:spacing w:before="50" w:line="360" w:lineRule="auto"/>
        <w:rPr>
          <w:rFonts w:ascii="宋体" w:hAnsi="宋体"/>
          <w:color w:val="auto"/>
          <w:szCs w:val="21"/>
          <w:highlight w:val="none"/>
        </w:rPr>
      </w:pPr>
    </w:p>
    <w:p w14:paraId="7096287D">
      <w:pPr>
        <w:adjustRightInd w:val="0"/>
        <w:snapToGrid w:val="0"/>
        <w:spacing w:before="50" w:line="360" w:lineRule="auto"/>
        <w:rPr>
          <w:rFonts w:ascii="宋体" w:hAnsi="宋体"/>
          <w:color w:val="auto"/>
          <w:szCs w:val="21"/>
          <w:highlight w:val="none"/>
        </w:rPr>
      </w:pPr>
      <w:r>
        <w:rPr>
          <w:rFonts w:hint="eastAsia" w:ascii="宋体" w:hAnsi="宋体"/>
          <w:color w:val="auto"/>
          <w:szCs w:val="21"/>
          <w:highlight w:val="none"/>
        </w:rPr>
        <w:t>供应商名称（盖单位公章）：</w:t>
      </w:r>
    </w:p>
    <w:p w14:paraId="7CA86925">
      <w:pPr>
        <w:adjustRightInd w:val="0"/>
        <w:snapToGrid w:val="0"/>
        <w:spacing w:before="50" w:line="360" w:lineRule="auto"/>
        <w:rPr>
          <w:rFonts w:ascii="宋体" w:hAnsi="宋体"/>
          <w:color w:val="auto"/>
          <w:szCs w:val="21"/>
          <w:highlight w:val="none"/>
        </w:rPr>
      </w:pPr>
      <w:r>
        <w:rPr>
          <w:rFonts w:hint="eastAsia" w:ascii="宋体" w:hAnsi="宋体" w:cs="微软雅黑"/>
          <w:color w:val="auto"/>
          <w:spacing w:val="-2"/>
          <w:kern w:val="0"/>
          <w:szCs w:val="21"/>
          <w:highlight w:val="none"/>
        </w:rPr>
        <w:t>法</w:t>
      </w:r>
      <w:r>
        <w:rPr>
          <w:rFonts w:hint="eastAsia" w:ascii="宋体" w:hAnsi="宋体" w:cs="微软雅黑"/>
          <w:color w:val="auto"/>
          <w:kern w:val="0"/>
          <w:szCs w:val="21"/>
          <w:highlight w:val="none"/>
        </w:rPr>
        <w:t>定</w:t>
      </w:r>
      <w:r>
        <w:rPr>
          <w:rFonts w:hint="eastAsia" w:ascii="宋体" w:hAnsi="宋体" w:cs="微软雅黑"/>
          <w:color w:val="auto"/>
          <w:spacing w:val="-2"/>
          <w:kern w:val="0"/>
          <w:szCs w:val="21"/>
          <w:highlight w:val="none"/>
        </w:rPr>
        <w:t>代</w:t>
      </w:r>
      <w:r>
        <w:rPr>
          <w:rFonts w:hint="eastAsia" w:ascii="宋体" w:hAnsi="宋体" w:cs="微软雅黑"/>
          <w:color w:val="auto"/>
          <w:kern w:val="0"/>
          <w:szCs w:val="21"/>
          <w:highlight w:val="none"/>
        </w:rPr>
        <w:t>表</w:t>
      </w:r>
      <w:r>
        <w:rPr>
          <w:rFonts w:hint="eastAsia" w:ascii="宋体" w:hAnsi="宋体" w:cs="微软雅黑"/>
          <w:color w:val="auto"/>
          <w:spacing w:val="-2"/>
          <w:kern w:val="0"/>
          <w:szCs w:val="21"/>
          <w:highlight w:val="none"/>
        </w:rPr>
        <w:t>人</w:t>
      </w:r>
      <w:r>
        <w:rPr>
          <w:rFonts w:hint="eastAsia" w:ascii="宋体" w:hAnsi="宋体" w:cs="微软雅黑"/>
          <w:color w:val="auto"/>
          <w:kern w:val="0"/>
          <w:szCs w:val="21"/>
          <w:highlight w:val="none"/>
        </w:rPr>
        <w:t>（</w:t>
      </w:r>
      <w:r>
        <w:rPr>
          <w:rFonts w:hint="eastAsia" w:ascii="宋体" w:hAnsi="宋体" w:cs="微软雅黑"/>
          <w:color w:val="auto"/>
          <w:spacing w:val="-2"/>
          <w:kern w:val="0"/>
          <w:szCs w:val="21"/>
          <w:highlight w:val="none"/>
        </w:rPr>
        <w:t>单</w:t>
      </w:r>
      <w:r>
        <w:rPr>
          <w:rFonts w:hint="eastAsia" w:ascii="宋体" w:hAnsi="宋体" w:cs="微软雅黑"/>
          <w:color w:val="auto"/>
          <w:kern w:val="0"/>
          <w:szCs w:val="21"/>
          <w:highlight w:val="none"/>
        </w:rPr>
        <w:t>位</w:t>
      </w:r>
      <w:r>
        <w:rPr>
          <w:rFonts w:hint="eastAsia" w:ascii="宋体" w:hAnsi="宋体" w:cs="微软雅黑"/>
          <w:color w:val="auto"/>
          <w:spacing w:val="-2"/>
          <w:kern w:val="0"/>
          <w:szCs w:val="21"/>
          <w:highlight w:val="none"/>
        </w:rPr>
        <w:t>负</w:t>
      </w:r>
      <w:r>
        <w:rPr>
          <w:rFonts w:hint="eastAsia" w:ascii="宋体" w:hAnsi="宋体" w:cs="微软雅黑"/>
          <w:color w:val="auto"/>
          <w:kern w:val="0"/>
          <w:szCs w:val="21"/>
          <w:highlight w:val="none"/>
        </w:rPr>
        <w:t>责人</w:t>
      </w:r>
      <w:r>
        <w:rPr>
          <w:rFonts w:hint="eastAsia" w:ascii="宋体" w:hAnsi="宋体" w:cs="微软雅黑"/>
          <w:color w:val="auto"/>
          <w:spacing w:val="-2"/>
          <w:kern w:val="0"/>
          <w:szCs w:val="21"/>
          <w:highlight w:val="none"/>
        </w:rPr>
        <w:t>）</w:t>
      </w:r>
      <w:r>
        <w:rPr>
          <w:rFonts w:hint="eastAsia" w:ascii="宋体" w:hAnsi="宋体"/>
          <w:color w:val="auto"/>
          <w:szCs w:val="21"/>
          <w:highlight w:val="none"/>
        </w:rPr>
        <w:t>或其授权的代理人（签字或印章）：</w:t>
      </w:r>
    </w:p>
    <w:p w14:paraId="6DBCE845">
      <w:pPr>
        <w:adjustRightInd w:val="0"/>
        <w:snapToGrid w:val="0"/>
        <w:spacing w:before="50" w:line="360" w:lineRule="auto"/>
        <w:rPr>
          <w:rFonts w:ascii="宋体" w:hAnsi="宋体"/>
          <w:color w:val="auto"/>
          <w:szCs w:val="21"/>
          <w:highlight w:val="none"/>
        </w:rPr>
      </w:pPr>
      <w:r>
        <w:rPr>
          <w:rFonts w:hint="eastAsia" w:ascii="宋体" w:hAnsi="宋体"/>
          <w:color w:val="auto"/>
          <w:szCs w:val="21"/>
          <w:highlight w:val="none"/>
        </w:rPr>
        <w:t>日      期：      年     月</w:t>
      </w:r>
      <w:r>
        <w:rPr>
          <w:rFonts w:ascii="宋体" w:hAnsi="宋体"/>
          <w:color w:val="auto"/>
          <w:szCs w:val="21"/>
          <w:highlight w:val="none"/>
        </w:rPr>
        <w:t xml:space="preserve"> </w:t>
      </w:r>
      <w:r>
        <w:rPr>
          <w:rFonts w:hint="eastAsia" w:ascii="宋体" w:hAnsi="宋体"/>
          <w:color w:val="auto"/>
          <w:szCs w:val="21"/>
          <w:highlight w:val="none"/>
        </w:rPr>
        <w:t xml:space="preserve">    日</w:t>
      </w:r>
    </w:p>
    <w:p w14:paraId="65276DB5">
      <w:pPr>
        <w:rPr>
          <w:color w:val="auto"/>
          <w:highlight w:val="none"/>
        </w:rPr>
      </w:pPr>
    </w:p>
    <w:p w14:paraId="31E141AA">
      <w:pPr>
        <w:rPr>
          <w:color w:val="auto"/>
          <w:highlight w:val="none"/>
        </w:rPr>
        <w:sectPr>
          <w:pgSz w:w="11906" w:h="16838"/>
          <w:pgMar w:top="1418" w:right="1418" w:bottom="1134" w:left="1418" w:header="851" w:footer="992" w:gutter="0"/>
          <w:pgNumType w:fmt="decimal"/>
          <w:cols w:space="720" w:num="1"/>
          <w:docGrid w:type="linesAndChars" w:linePitch="312" w:charSpace="0"/>
        </w:sectPr>
      </w:pPr>
    </w:p>
    <w:p w14:paraId="120A1D49">
      <w:pPr>
        <w:keepNext/>
        <w:keepLines/>
        <w:spacing w:line="360" w:lineRule="auto"/>
        <w:jc w:val="center"/>
        <w:outlineLvl w:val="1"/>
        <w:rPr>
          <w:rFonts w:ascii="黑体" w:hAnsi="黑体" w:eastAsia="黑体"/>
          <w:b/>
          <w:bCs/>
          <w:color w:val="auto"/>
          <w:sz w:val="28"/>
          <w:szCs w:val="28"/>
          <w:highlight w:val="none"/>
        </w:rPr>
      </w:pPr>
      <w:bookmarkStart w:id="47" w:name="_Toc25353"/>
      <w:bookmarkStart w:id="48" w:name="_Toc107998055"/>
      <w:bookmarkStart w:id="49" w:name="_Toc15988"/>
      <w:r>
        <w:rPr>
          <w:rFonts w:hint="eastAsia" w:ascii="黑体" w:hAnsi="黑体" w:eastAsia="黑体"/>
          <w:b/>
          <w:bCs/>
          <w:color w:val="auto"/>
          <w:sz w:val="28"/>
          <w:szCs w:val="28"/>
          <w:highlight w:val="none"/>
          <w:lang w:eastAsia="zh-CN"/>
        </w:rPr>
        <w:t>八</w:t>
      </w:r>
      <w:r>
        <w:rPr>
          <w:rFonts w:hint="eastAsia" w:ascii="黑体" w:hAnsi="黑体" w:eastAsia="黑体"/>
          <w:b/>
          <w:bCs/>
          <w:color w:val="auto"/>
          <w:sz w:val="28"/>
          <w:szCs w:val="28"/>
          <w:highlight w:val="none"/>
        </w:rPr>
        <w:t>、响应标的符合</w:t>
      </w:r>
      <w:r>
        <w:rPr>
          <w:rFonts w:hint="eastAsia" w:ascii="黑体" w:hAnsi="黑体" w:eastAsia="黑体"/>
          <w:b/>
          <w:bCs/>
          <w:color w:val="auto"/>
          <w:sz w:val="28"/>
          <w:szCs w:val="28"/>
          <w:highlight w:val="none"/>
          <w:lang w:eastAsia="zh-CN"/>
        </w:rPr>
        <w:t>竞争性谈判</w:t>
      </w:r>
      <w:r>
        <w:rPr>
          <w:rFonts w:hint="eastAsia" w:ascii="黑体" w:hAnsi="黑体" w:eastAsia="黑体"/>
          <w:b/>
          <w:bCs/>
          <w:color w:val="auto"/>
          <w:sz w:val="28"/>
          <w:szCs w:val="28"/>
          <w:highlight w:val="none"/>
        </w:rPr>
        <w:t>文件规定的证明文件</w:t>
      </w:r>
      <w:bookmarkEnd w:id="47"/>
      <w:bookmarkEnd w:id="48"/>
      <w:bookmarkEnd w:id="49"/>
    </w:p>
    <w:p w14:paraId="62C1721A">
      <w:pPr>
        <w:adjustRightInd w:val="0"/>
        <w:snapToGrid w:val="0"/>
        <w:spacing w:line="360" w:lineRule="auto"/>
        <w:rPr>
          <w:rFonts w:ascii="宋体" w:hAnsi="宋体"/>
          <w:color w:val="auto"/>
          <w:szCs w:val="21"/>
          <w:highlight w:val="none"/>
        </w:rPr>
      </w:pPr>
    </w:p>
    <w:p w14:paraId="4719C289">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注：提供第三章规定的证明材料复印件。</w:t>
      </w:r>
    </w:p>
    <w:p w14:paraId="14603190">
      <w:pPr>
        <w:adjustRightInd w:val="0"/>
        <w:snapToGrid w:val="0"/>
        <w:spacing w:line="360" w:lineRule="auto"/>
        <w:rPr>
          <w:rFonts w:ascii="宋体" w:hAnsi="宋体"/>
          <w:color w:val="auto"/>
          <w:highlight w:val="none"/>
        </w:rPr>
      </w:pPr>
    </w:p>
    <w:p w14:paraId="5151CC16">
      <w:pPr>
        <w:keepNext/>
        <w:keepLines/>
        <w:spacing w:line="360" w:lineRule="auto"/>
        <w:jc w:val="center"/>
        <w:outlineLvl w:val="1"/>
        <w:rPr>
          <w:rFonts w:ascii="黑体" w:hAnsi="黑体" w:eastAsia="黑体"/>
          <w:b/>
          <w:bCs/>
          <w:color w:val="auto"/>
          <w:sz w:val="28"/>
          <w:szCs w:val="28"/>
          <w:highlight w:val="none"/>
        </w:rPr>
      </w:pPr>
      <w:bookmarkStart w:id="50" w:name="_Toc142"/>
      <w:bookmarkStart w:id="51" w:name="_Toc107998056"/>
      <w:r>
        <w:rPr>
          <w:rFonts w:hint="eastAsia" w:ascii="黑体" w:hAnsi="黑体" w:eastAsia="黑体"/>
          <w:b/>
          <w:bCs/>
          <w:color w:val="auto"/>
          <w:sz w:val="28"/>
          <w:szCs w:val="28"/>
          <w:highlight w:val="none"/>
        </w:rPr>
        <w:br w:type="page"/>
      </w:r>
      <w:bookmarkStart w:id="52" w:name="_Toc13623"/>
      <w:r>
        <w:rPr>
          <w:rFonts w:hint="eastAsia" w:ascii="黑体" w:hAnsi="黑体" w:eastAsia="黑体"/>
          <w:b/>
          <w:bCs/>
          <w:color w:val="auto"/>
          <w:sz w:val="28"/>
          <w:szCs w:val="28"/>
          <w:highlight w:val="none"/>
          <w:lang w:eastAsia="zh-CN"/>
        </w:rPr>
        <w:t>九</w:t>
      </w:r>
      <w:r>
        <w:rPr>
          <w:rFonts w:hint="eastAsia" w:ascii="黑体" w:hAnsi="黑体" w:eastAsia="黑体"/>
          <w:b/>
          <w:bCs/>
          <w:color w:val="auto"/>
          <w:sz w:val="28"/>
          <w:szCs w:val="28"/>
          <w:highlight w:val="none"/>
        </w:rPr>
        <w:t>、供应商认为需提供的其他资料</w:t>
      </w:r>
      <w:bookmarkEnd w:id="50"/>
      <w:bookmarkEnd w:id="51"/>
      <w:bookmarkEnd w:id="52"/>
    </w:p>
    <w:p w14:paraId="557C85C7">
      <w:pPr>
        <w:adjustRightInd w:val="0"/>
        <w:snapToGrid w:val="0"/>
        <w:spacing w:before="156" w:beforeLines="50" w:line="360" w:lineRule="auto"/>
        <w:rPr>
          <w:rFonts w:ascii="宋体" w:hAnsi="宋体"/>
          <w:color w:val="auto"/>
          <w:highlight w:val="none"/>
        </w:rPr>
      </w:pPr>
    </w:p>
    <w:p w14:paraId="3A660E39">
      <w:pPr>
        <w:adjustRightInd w:val="0"/>
        <w:snapToGrid w:val="0"/>
        <w:spacing w:before="156" w:beforeLines="50" w:line="360" w:lineRule="auto"/>
        <w:rPr>
          <w:rFonts w:ascii="宋体" w:hAnsi="宋体"/>
          <w:color w:val="auto"/>
          <w:highlight w:val="none"/>
        </w:rPr>
      </w:pPr>
      <w:r>
        <w:rPr>
          <w:rFonts w:hint="eastAsia" w:ascii="宋体" w:hAnsi="宋体"/>
          <w:color w:val="auto"/>
          <w:highlight w:val="none"/>
        </w:rPr>
        <w:t>注：供应商认为需提供的其他资料包括：</w:t>
      </w:r>
    </w:p>
    <w:p w14:paraId="2948090D">
      <w:pPr>
        <w:adjustRightInd w:val="0"/>
        <w:snapToGrid w:val="0"/>
        <w:spacing w:before="156" w:beforeLines="50" w:line="360" w:lineRule="auto"/>
        <w:ind w:firstLine="420" w:firstLineChars="200"/>
        <w:rPr>
          <w:rFonts w:ascii="宋体" w:hAnsi="宋体"/>
          <w:color w:val="auto"/>
          <w:highlight w:val="none"/>
        </w:rPr>
      </w:pPr>
      <w:r>
        <w:rPr>
          <w:rFonts w:hint="eastAsia" w:ascii="宋体" w:hAnsi="宋体"/>
          <w:color w:val="auto"/>
          <w:highlight w:val="none"/>
        </w:rPr>
        <w:t>1.</w:t>
      </w:r>
      <w:r>
        <w:rPr>
          <w:rFonts w:hint="eastAsia" w:ascii="宋体" w:hAnsi="宋体"/>
          <w:color w:val="auto"/>
          <w:highlight w:val="none"/>
          <w:lang w:eastAsia="zh-CN"/>
        </w:rPr>
        <w:t>竞争性谈判</w:t>
      </w:r>
      <w:r>
        <w:rPr>
          <w:rFonts w:hint="eastAsia" w:ascii="宋体" w:hAnsi="宋体"/>
          <w:color w:val="auto"/>
          <w:highlight w:val="none"/>
        </w:rPr>
        <w:t>文件第三章采购需求要求的其他资料；</w:t>
      </w:r>
    </w:p>
    <w:p w14:paraId="16E868A2">
      <w:pPr>
        <w:adjustRightInd w:val="0"/>
        <w:snapToGrid w:val="0"/>
        <w:spacing w:before="156" w:beforeLines="50" w:line="360" w:lineRule="auto"/>
        <w:ind w:firstLine="420" w:firstLineChars="200"/>
        <w:rPr>
          <w:rFonts w:ascii="宋体" w:hAnsi="宋体"/>
          <w:color w:val="auto"/>
          <w:highlight w:val="none"/>
        </w:rPr>
        <w:sectPr>
          <w:pgSz w:w="11906" w:h="16838"/>
          <w:pgMar w:top="1418" w:right="1418" w:bottom="1134" w:left="1418" w:header="851" w:footer="992" w:gutter="0"/>
          <w:pgNumType w:fmt="decimal"/>
          <w:cols w:space="720" w:num="1"/>
          <w:docGrid w:type="linesAndChars" w:linePitch="312" w:charSpace="0"/>
        </w:sectPr>
      </w:pPr>
      <w:r>
        <w:rPr>
          <w:rFonts w:hint="eastAsia" w:ascii="宋体" w:hAnsi="宋体"/>
          <w:color w:val="auto"/>
          <w:highlight w:val="none"/>
        </w:rPr>
        <w:t>2.</w:t>
      </w:r>
      <w:r>
        <w:rPr>
          <w:rFonts w:hint="eastAsia" w:ascii="宋体" w:hAnsi="宋体"/>
          <w:color w:val="auto"/>
          <w:highlight w:val="none"/>
          <w:lang w:eastAsia="zh-CN"/>
        </w:rPr>
        <w:t>竞争性谈判</w:t>
      </w:r>
      <w:r>
        <w:rPr>
          <w:rFonts w:hint="eastAsia" w:ascii="宋体" w:hAnsi="宋体"/>
          <w:color w:val="auto"/>
          <w:highlight w:val="none"/>
        </w:rPr>
        <w:t>文件要求的其他相关</w:t>
      </w:r>
    </w:p>
    <w:bookmarkEnd w:id="0"/>
    <w:bookmarkEnd w:id="1"/>
    <w:bookmarkEnd w:id="2"/>
    <w:p w14:paraId="1A9E33E2">
      <w:pPr>
        <w:rPr>
          <w:rFonts w:hint="eastAsia" w:ascii="宋体" w:hAnsi="宋体" w:eastAsia="宋体"/>
          <w:color w:val="auto"/>
          <w:szCs w:val="21"/>
          <w:highlight w:val="none"/>
          <w:lang w:val="en-US" w:eastAsia="zh-CN"/>
        </w:rPr>
      </w:pPr>
    </w:p>
    <w:sectPr>
      <w:pgSz w:w="11906" w:h="16838"/>
      <w:pgMar w:top="1417" w:right="1417" w:bottom="1417" w:left="1417" w:header="851" w:footer="567"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华文楷体">
    <w:panose1 w:val="02010600040101010101"/>
    <w:charset w:val="86"/>
    <w:family w:val="auto"/>
    <w:pitch w:val="default"/>
    <w:sig w:usb0="00000287" w:usb1="080F0000" w:usb2="00000000" w:usb3="00000000" w:csb0="0004009F" w:csb1="DFD70000"/>
  </w:font>
  <w:font w:name="MingLiU">
    <w:panose1 w:val="02020509000000000000"/>
    <w:charset w:val="88"/>
    <w:family w:val="modern"/>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2E45A">
    <w:pPr>
      <w:pStyle w:val="16"/>
      <w:tabs>
        <w:tab w:val="right" w:pos="9214"/>
        <w:tab w:val="clear" w:pos="8306"/>
      </w:tabs>
      <w:ind w:right="-1044"/>
    </w:pPr>
  </w:p>
  <w:p w14:paraId="1DFA995D">
    <w:r>
      <w:rPr>
        <w:rFonts w:hint="eastAsia"/>
        <w:sz w:val="18"/>
        <w:szCs w:val="18"/>
      </w:rPr>
      <w:t xml:space="preserve">                      </w:t>
    </w:r>
  </w:p>
  <w:p w14:paraId="2A39D2F1">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2DBD1">
    <w:pPr>
      <w:pStyle w:val="17"/>
      <w:pBdr>
        <w:bottom w:val="none" w:color="auto" w:sz="0" w:space="1"/>
      </w:pBdr>
      <w:jc w:val="left"/>
    </w:pPr>
    <w:r>
      <w:rPr>
        <w:rFonts w:hint="eastAsia" w:ascii="宋体" w:hAnsi="宋体" w:cs="宋体"/>
        <w:szCs w:val="21"/>
        <w:lang w:eastAsia="zh-CN"/>
      </w:rPr>
      <w:t>株洲北斗应用与信息技术产业示范基地配套基础设施项目（</w:t>
    </w:r>
    <w:r>
      <w:rPr>
        <w:rFonts w:hint="eastAsia" w:ascii="宋体" w:hAnsi="宋体" w:cs="宋体"/>
        <w:szCs w:val="21"/>
        <w:lang w:val="en-US" w:eastAsia="zh-CN"/>
      </w:rPr>
      <w:t>一期</w:t>
    </w:r>
    <w:r>
      <w:rPr>
        <w:rFonts w:hint="eastAsia" w:ascii="宋体" w:hAnsi="宋体" w:cs="宋体"/>
        <w:szCs w:val="21"/>
        <w:lang w:eastAsia="zh-CN"/>
      </w:rPr>
      <w:t>）钢结构安装</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DE2B46"/>
    <w:multiLevelType w:val="multilevel"/>
    <w:tmpl w:val="0DDE2B46"/>
    <w:lvl w:ilvl="0" w:tentative="0">
      <w:start w:val="1"/>
      <w:numFmt w:val="lowerLetter"/>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1">
    <w:nsid w:val="0FF33572"/>
    <w:multiLevelType w:val="singleLevel"/>
    <w:tmpl w:val="0FF33572"/>
    <w:lvl w:ilvl="0" w:tentative="0">
      <w:start w:val="2"/>
      <w:numFmt w:val="decimal"/>
      <w:suff w:val="nothing"/>
      <w:lvlText w:val="%1、"/>
      <w:lvlJc w:val="left"/>
    </w:lvl>
  </w:abstractNum>
  <w:abstractNum w:abstractNumId="2">
    <w:nsid w:val="594F28A0"/>
    <w:multiLevelType w:val="singleLevel"/>
    <w:tmpl w:val="594F28A0"/>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kN2UwNDRkMjhiMTM4MzIxMGQ0MDhlYjY0MjVkMjMifQ=="/>
  </w:docVars>
  <w:rsids>
    <w:rsidRoot w:val="00172A27"/>
    <w:rsid w:val="00172A27"/>
    <w:rsid w:val="00196ABF"/>
    <w:rsid w:val="00235788"/>
    <w:rsid w:val="002B11D2"/>
    <w:rsid w:val="003D6928"/>
    <w:rsid w:val="004057FA"/>
    <w:rsid w:val="005540A3"/>
    <w:rsid w:val="005656EE"/>
    <w:rsid w:val="005769B6"/>
    <w:rsid w:val="005C5CF0"/>
    <w:rsid w:val="00924DD9"/>
    <w:rsid w:val="00A50938"/>
    <w:rsid w:val="00A86CDB"/>
    <w:rsid w:val="00AD5E45"/>
    <w:rsid w:val="00B93639"/>
    <w:rsid w:val="00D12954"/>
    <w:rsid w:val="00D52D18"/>
    <w:rsid w:val="00DD46EB"/>
    <w:rsid w:val="00F5569D"/>
    <w:rsid w:val="00FA4E16"/>
    <w:rsid w:val="00FB2118"/>
    <w:rsid w:val="0114448A"/>
    <w:rsid w:val="0192060C"/>
    <w:rsid w:val="01D628BE"/>
    <w:rsid w:val="024668C0"/>
    <w:rsid w:val="03AA0D24"/>
    <w:rsid w:val="03B2675D"/>
    <w:rsid w:val="045549AB"/>
    <w:rsid w:val="04C13146"/>
    <w:rsid w:val="04FD7A05"/>
    <w:rsid w:val="05C56535"/>
    <w:rsid w:val="06730F6C"/>
    <w:rsid w:val="06785973"/>
    <w:rsid w:val="07B02540"/>
    <w:rsid w:val="07DC007A"/>
    <w:rsid w:val="08086333"/>
    <w:rsid w:val="084A556D"/>
    <w:rsid w:val="08DD79A3"/>
    <w:rsid w:val="09061542"/>
    <w:rsid w:val="095C7B4D"/>
    <w:rsid w:val="0A8B5CDE"/>
    <w:rsid w:val="0A907B33"/>
    <w:rsid w:val="0ADE4294"/>
    <w:rsid w:val="0AE77222"/>
    <w:rsid w:val="0B1A3973"/>
    <w:rsid w:val="0B510D92"/>
    <w:rsid w:val="0BC25458"/>
    <w:rsid w:val="0C0F468C"/>
    <w:rsid w:val="0C6042CC"/>
    <w:rsid w:val="0C830626"/>
    <w:rsid w:val="0C833643"/>
    <w:rsid w:val="0CD566FD"/>
    <w:rsid w:val="0D2D6DDA"/>
    <w:rsid w:val="0D660BF3"/>
    <w:rsid w:val="0DD2078F"/>
    <w:rsid w:val="0E0F2380"/>
    <w:rsid w:val="105E18FD"/>
    <w:rsid w:val="10D01B9D"/>
    <w:rsid w:val="111A5368"/>
    <w:rsid w:val="12431BFF"/>
    <w:rsid w:val="14A95C11"/>
    <w:rsid w:val="15AE3F0A"/>
    <w:rsid w:val="15D732F1"/>
    <w:rsid w:val="15F32920"/>
    <w:rsid w:val="15FA2BC8"/>
    <w:rsid w:val="16B119AC"/>
    <w:rsid w:val="174B687D"/>
    <w:rsid w:val="17EB6331"/>
    <w:rsid w:val="18076927"/>
    <w:rsid w:val="18227BBE"/>
    <w:rsid w:val="199E6AA6"/>
    <w:rsid w:val="1A4F2DB6"/>
    <w:rsid w:val="1A67134F"/>
    <w:rsid w:val="1AAF7C8C"/>
    <w:rsid w:val="1AB221F3"/>
    <w:rsid w:val="1B4849B7"/>
    <w:rsid w:val="1B742AD4"/>
    <w:rsid w:val="1B746F78"/>
    <w:rsid w:val="1B852F33"/>
    <w:rsid w:val="1C5D17BA"/>
    <w:rsid w:val="1C9529AE"/>
    <w:rsid w:val="1D562F59"/>
    <w:rsid w:val="1DA4393B"/>
    <w:rsid w:val="1DB721AD"/>
    <w:rsid w:val="1EAC511B"/>
    <w:rsid w:val="1EBE653C"/>
    <w:rsid w:val="1EC8207C"/>
    <w:rsid w:val="1ECE7E7E"/>
    <w:rsid w:val="1F902109"/>
    <w:rsid w:val="20421481"/>
    <w:rsid w:val="204C4020"/>
    <w:rsid w:val="20590F40"/>
    <w:rsid w:val="20AE63C7"/>
    <w:rsid w:val="21511C1D"/>
    <w:rsid w:val="216D3400"/>
    <w:rsid w:val="21F27B4B"/>
    <w:rsid w:val="22020520"/>
    <w:rsid w:val="222B302C"/>
    <w:rsid w:val="22D2637A"/>
    <w:rsid w:val="22D4795F"/>
    <w:rsid w:val="23827D58"/>
    <w:rsid w:val="23C068DC"/>
    <w:rsid w:val="23C640E9"/>
    <w:rsid w:val="24517FED"/>
    <w:rsid w:val="246F4120"/>
    <w:rsid w:val="25A24B5F"/>
    <w:rsid w:val="25D94172"/>
    <w:rsid w:val="26121868"/>
    <w:rsid w:val="263C022E"/>
    <w:rsid w:val="26862005"/>
    <w:rsid w:val="26C77960"/>
    <w:rsid w:val="26C8386E"/>
    <w:rsid w:val="27723DE3"/>
    <w:rsid w:val="278B2DAE"/>
    <w:rsid w:val="28166553"/>
    <w:rsid w:val="29412209"/>
    <w:rsid w:val="294405F6"/>
    <w:rsid w:val="29D3069B"/>
    <w:rsid w:val="2AAE5148"/>
    <w:rsid w:val="2AFE1A16"/>
    <w:rsid w:val="2B132417"/>
    <w:rsid w:val="2BB46F1D"/>
    <w:rsid w:val="2D765006"/>
    <w:rsid w:val="2DA14644"/>
    <w:rsid w:val="2DAD1E76"/>
    <w:rsid w:val="2DC52F59"/>
    <w:rsid w:val="2E0221C2"/>
    <w:rsid w:val="2E5E1715"/>
    <w:rsid w:val="2F1F1A24"/>
    <w:rsid w:val="2F2A6554"/>
    <w:rsid w:val="2F3C4D5A"/>
    <w:rsid w:val="2F436F36"/>
    <w:rsid w:val="2F4E083A"/>
    <w:rsid w:val="2F7B047E"/>
    <w:rsid w:val="2FAD7E3C"/>
    <w:rsid w:val="2FF47DE1"/>
    <w:rsid w:val="303A331B"/>
    <w:rsid w:val="30792A97"/>
    <w:rsid w:val="30F07279"/>
    <w:rsid w:val="30F869B8"/>
    <w:rsid w:val="31D42811"/>
    <w:rsid w:val="3246248B"/>
    <w:rsid w:val="32634F69"/>
    <w:rsid w:val="33031BC9"/>
    <w:rsid w:val="330E38C8"/>
    <w:rsid w:val="34C85BE2"/>
    <w:rsid w:val="35192BAB"/>
    <w:rsid w:val="355A0F1E"/>
    <w:rsid w:val="355A7397"/>
    <w:rsid w:val="359B6C0C"/>
    <w:rsid w:val="35B218C7"/>
    <w:rsid w:val="35D8043B"/>
    <w:rsid w:val="360E5003"/>
    <w:rsid w:val="361C0AEF"/>
    <w:rsid w:val="361E1A24"/>
    <w:rsid w:val="375A1C1D"/>
    <w:rsid w:val="3873311D"/>
    <w:rsid w:val="38897C04"/>
    <w:rsid w:val="38D77EF0"/>
    <w:rsid w:val="39355DE8"/>
    <w:rsid w:val="3A04405D"/>
    <w:rsid w:val="3A0F09CE"/>
    <w:rsid w:val="3A727853"/>
    <w:rsid w:val="3C520ABB"/>
    <w:rsid w:val="3D750F5B"/>
    <w:rsid w:val="3D78327F"/>
    <w:rsid w:val="3DF63473"/>
    <w:rsid w:val="3E1379D5"/>
    <w:rsid w:val="3E2246D4"/>
    <w:rsid w:val="3EE57F5E"/>
    <w:rsid w:val="3FF41421"/>
    <w:rsid w:val="404C2229"/>
    <w:rsid w:val="40947A04"/>
    <w:rsid w:val="40AF678D"/>
    <w:rsid w:val="41502B35"/>
    <w:rsid w:val="418A09F4"/>
    <w:rsid w:val="41C0256D"/>
    <w:rsid w:val="41C774D5"/>
    <w:rsid w:val="42416FF5"/>
    <w:rsid w:val="427C464E"/>
    <w:rsid w:val="428F7443"/>
    <w:rsid w:val="42B84786"/>
    <w:rsid w:val="42E477C7"/>
    <w:rsid w:val="433C6F5D"/>
    <w:rsid w:val="43635EAF"/>
    <w:rsid w:val="44060476"/>
    <w:rsid w:val="447F692E"/>
    <w:rsid w:val="44B05C73"/>
    <w:rsid w:val="45613F85"/>
    <w:rsid w:val="45A557BC"/>
    <w:rsid w:val="45B852BF"/>
    <w:rsid w:val="45FC6AE1"/>
    <w:rsid w:val="46D03F06"/>
    <w:rsid w:val="47BF085F"/>
    <w:rsid w:val="48131E2D"/>
    <w:rsid w:val="484947BC"/>
    <w:rsid w:val="49094E01"/>
    <w:rsid w:val="496F169A"/>
    <w:rsid w:val="49710E08"/>
    <w:rsid w:val="498C35BB"/>
    <w:rsid w:val="4AF51924"/>
    <w:rsid w:val="4C145541"/>
    <w:rsid w:val="4CA9093E"/>
    <w:rsid w:val="4CB06D88"/>
    <w:rsid w:val="4D967F2F"/>
    <w:rsid w:val="4DA04432"/>
    <w:rsid w:val="4DB72B71"/>
    <w:rsid w:val="4EEB2368"/>
    <w:rsid w:val="4F290E61"/>
    <w:rsid w:val="4FD911AF"/>
    <w:rsid w:val="4FEB6B02"/>
    <w:rsid w:val="50385C15"/>
    <w:rsid w:val="511D56D0"/>
    <w:rsid w:val="51363DAD"/>
    <w:rsid w:val="514400A8"/>
    <w:rsid w:val="51A40847"/>
    <w:rsid w:val="51D80A69"/>
    <w:rsid w:val="51F6504E"/>
    <w:rsid w:val="52275F6E"/>
    <w:rsid w:val="52D7516B"/>
    <w:rsid w:val="52E361B6"/>
    <w:rsid w:val="52F3532F"/>
    <w:rsid w:val="52FA4C7F"/>
    <w:rsid w:val="530A479A"/>
    <w:rsid w:val="532033D2"/>
    <w:rsid w:val="53F93A4C"/>
    <w:rsid w:val="543642A3"/>
    <w:rsid w:val="54761117"/>
    <w:rsid w:val="54A53EED"/>
    <w:rsid w:val="5590641A"/>
    <w:rsid w:val="561F3061"/>
    <w:rsid w:val="563665FD"/>
    <w:rsid w:val="56757125"/>
    <w:rsid w:val="57075BE8"/>
    <w:rsid w:val="576013D2"/>
    <w:rsid w:val="577352DC"/>
    <w:rsid w:val="57762756"/>
    <w:rsid w:val="590C2A27"/>
    <w:rsid w:val="592213D5"/>
    <w:rsid w:val="5A6D11B5"/>
    <w:rsid w:val="5A7B3830"/>
    <w:rsid w:val="5A8E070A"/>
    <w:rsid w:val="5AB81071"/>
    <w:rsid w:val="5ABF5F3A"/>
    <w:rsid w:val="5B3B50F4"/>
    <w:rsid w:val="5B4D46DB"/>
    <w:rsid w:val="5B584556"/>
    <w:rsid w:val="5C097861"/>
    <w:rsid w:val="5C1526B8"/>
    <w:rsid w:val="5D8A3DF8"/>
    <w:rsid w:val="5DC92951"/>
    <w:rsid w:val="5E2B3457"/>
    <w:rsid w:val="5E5139CD"/>
    <w:rsid w:val="5EDD7F5D"/>
    <w:rsid w:val="5F17034E"/>
    <w:rsid w:val="5F2727DC"/>
    <w:rsid w:val="5F325FC6"/>
    <w:rsid w:val="5F3F29D7"/>
    <w:rsid w:val="5F8362E8"/>
    <w:rsid w:val="5F9A66EE"/>
    <w:rsid w:val="5FCE0082"/>
    <w:rsid w:val="5FDC05DB"/>
    <w:rsid w:val="60552C44"/>
    <w:rsid w:val="605A2032"/>
    <w:rsid w:val="60D90D70"/>
    <w:rsid w:val="610F0176"/>
    <w:rsid w:val="61660AEE"/>
    <w:rsid w:val="620F767C"/>
    <w:rsid w:val="623101D5"/>
    <w:rsid w:val="623E6F65"/>
    <w:rsid w:val="62BA1091"/>
    <w:rsid w:val="640F6E0B"/>
    <w:rsid w:val="644C3E99"/>
    <w:rsid w:val="650B168C"/>
    <w:rsid w:val="65294DFC"/>
    <w:rsid w:val="66872A3E"/>
    <w:rsid w:val="67804056"/>
    <w:rsid w:val="67DE35C0"/>
    <w:rsid w:val="693F23B7"/>
    <w:rsid w:val="697761FF"/>
    <w:rsid w:val="6AEC79FA"/>
    <w:rsid w:val="6B9B0D84"/>
    <w:rsid w:val="6BC95D4F"/>
    <w:rsid w:val="6CDA411E"/>
    <w:rsid w:val="6CF95F18"/>
    <w:rsid w:val="6D496472"/>
    <w:rsid w:val="6E51022F"/>
    <w:rsid w:val="6E9524EF"/>
    <w:rsid w:val="6EBF6001"/>
    <w:rsid w:val="6F857076"/>
    <w:rsid w:val="6F9772A5"/>
    <w:rsid w:val="6FA078C3"/>
    <w:rsid w:val="706C2F29"/>
    <w:rsid w:val="70A703CB"/>
    <w:rsid w:val="70D43464"/>
    <w:rsid w:val="70ED6B4B"/>
    <w:rsid w:val="71547FFA"/>
    <w:rsid w:val="715A543E"/>
    <w:rsid w:val="716B13F9"/>
    <w:rsid w:val="722C0861"/>
    <w:rsid w:val="72F22040"/>
    <w:rsid w:val="747D6E6E"/>
    <w:rsid w:val="74822F34"/>
    <w:rsid w:val="74D84FF7"/>
    <w:rsid w:val="75207AD8"/>
    <w:rsid w:val="75973564"/>
    <w:rsid w:val="76261E57"/>
    <w:rsid w:val="777F1896"/>
    <w:rsid w:val="780835EF"/>
    <w:rsid w:val="7823223C"/>
    <w:rsid w:val="786D7DE8"/>
    <w:rsid w:val="78A53586"/>
    <w:rsid w:val="78C7172F"/>
    <w:rsid w:val="7981788D"/>
    <w:rsid w:val="79937746"/>
    <w:rsid w:val="79C83A93"/>
    <w:rsid w:val="7A0E476E"/>
    <w:rsid w:val="7A3036FD"/>
    <w:rsid w:val="7AA63F67"/>
    <w:rsid w:val="7B3A2F82"/>
    <w:rsid w:val="7B6A0F38"/>
    <w:rsid w:val="7BC94012"/>
    <w:rsid w:val="7BD83078"/>
    <w:rsid w:val="7C492A35"/>
    <w:rsid w:val="7CDC14B2"/>
    <w:rsid w:val="7D911F35"/>
    <w:rsid w:val="7D986B08"/>
    <w:rsid w:val="7DC425BD"/>
    <w:rsid w:val="7E2412AD"/>
    <w:rsid w:val="7E6E0476"/>
    <w:rsid w:val="7E930C54"/>
    <w:rsid w:val="7EA43F4C"/>
    <w:rsid w:val="7EE8052D"/>
    <w:rsid w:val="7F7711B8"/>
    <w:rsid w:val="7F9A4D2E"/>
    <w:rsid w:val="7FAD4204"/>
    <w:rsid w:val="7FB621FD"/>
    <w:rsid w:val="7FBE71F8"/>
    <w:rsid w:val="7FDB7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4"/>
    <w:qFormat/>
    <w:uiPriority w:val="0"/>
    <w:pPr>
      <w:keepNext/>
      <w:jc w:val="center"/>
      <w:outlineLvl w:val="0"/>
    </w:pPr>
    <w:rPr>
      <w:b/>
      <w:bCs/>
      <w:kern w:val="0"/>
      <w:sz w:val="24"/>
      <w:szCs w:val="20"/>
    </w:rPr>
  </w:style>
  <w:style w:type="paragraph" w:styleId="3">
    <w:name w:val="heading 2"/>
    <w:basedOn w:val="1"/>
    <w:next w:val="1"/>
    <w:qFormat/>
    <w:uiPriority w:val="0"/>
    <w:pPr>
      <w:keepNext/>
      <w:keepLines/>
      <w:spacing w:line="416" w:lineRule="auto"/>
      <w:outlineLvl w:val="1"/>
    </w:pPr>
    <w:rPr>
      <w:rFonts w:ascii="Arial" w:hAnsi="Arial" w:eastAsia="黑体"/>
      <w:b/>
      <w:bCs/>
      <w:sz w:val="32"/>
      <w:szCs w:val="32"/>
    </w:rPr>
  </w:style>
  <w:style w:type="paragraph" w:styleId="4">
    <w:name w:val="heading 3"/>
    <w:basedOn w:val="1"/>
    <w:next w:val="1"/>
    <w:qFormat/>
    <w:uiPriority w:val="0"/>
    <w:pPr>
      <w:jc w:val="left"/>
      <w:outlineLvl w:val="2"/>
    </w:pPr>
    <w:rPr>
      <w:rFonts w:hint="eastAsia" w:ascii="宋体" w:hAnsi="宋体" w:eastAsia="宋体" w:cs="Times New Roman"/>
      <w:b/>
      <w:kern w:val="0"/>
      <w:szCs w:val="21"/>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ind w:firstLine="420" w:firstLineChars="200"/>
    </w:pPr>
  </w:style>
  <w:style w:type="paragraph" w:styleId="7">
    <w:name w:val="Body Text First Indent 2"/>
    <w:basedOn w:val="8"/>
    <w:next w:val="1"/>
    <w:qFormat/>
    <w:uiPriority w:val="0"/>
    <w:pPr>
      <w:ind w:firstLine="420" w:firstLineChars="200"/>
    </w:pPr>
  </w:style>
  <w:style w:type="paragraph" w:styleId="8">
    <w:name w:val="Body Text Indent"/>
    <w:basedOn w:val="1"/>
    <w:next w:val="9"/>
    <w:qFormat/>
    <w:uiPriority w:val="0"/>
    <w:pPr>
      <w:spacing w:after="120"/>
      <w:ind w:left="420" w:leftChars="200"/>
    </w:pPr>
  </w:style>
  <w:style w:type="paragraph" w:styleId="9">
    <w:name w:val="Body Text Indent 2"/>
    <w:basedOn w:val="1"/>
    <w:qFormat/>
    <w:uiPriority w:val="0"/>
    <w:pPr>
      <w:spacing w:line="480" w:lineRule="auto"/>
      <w:ind w:left="420" w:leftChars="200"/>
    </w:pPr>
  </w:style>
  <w:style w:type="paragraph" w:styleId="10">
    <w:name w:val="annotation text"/>
    <w:basedOn w:val="1"/>
    <w:qFormat/>
    <w:uiPriority w:val="99"/>
    <w:pPr>
      <w:jc w:val="left"/>
    </w:pPr>
    <w:rPr>
      <w:sz w:val="24"/>
    </w:rPr>
  </w:style>
  <w:style w:type="paragraph" w:styleId="11">
    <w:name w:val="Body Text"/>
    <w:basedOn w:val="1"/>
    <w:next w:val="12"/>
    <w:qFormat/>
    <w:uiPriority w:val="0"/>
    <w:pPr>
      <w:spacing w:after="120"/>
    </w:pPr>
    <w:rPr>
      <w:kern w:val="0"/>
      <w:sz w:val="20"/>
    </w:rPr>
  </w:style>
  <w:style w:type="paragraph" w:styleId="12">
    <w:name w:val="Body Text First Indent"/>
    <w:basedOn w:val="11"/>
    <w:next w:val="6"/>
    <w:qFormat/>
    <w:uiPriority w:val="0"/>
    <w:pPr>
      <w:ind w:firstLine="420" w:firstLineChars="100"/>
    </w:pPr>
  </w:style>
  <w:style w:type="paragraph" w:styleId="13">
    <w:name w:val="Plain Text"/>
    <w:basedOn w:val="1"/>
    <w:qFormat/>
    <w:uiPriority w:val="0"/>
    <w:rPr>
      <w:rFonts w:ascii="宋体" w:hAnsi="Courier New" w:cs="Courier New"/>
      <w:szCs w:val="21"/>
    </w:rPr>
  </w:style>
  <w:style w:type="paragraph" w:styleId="14">
    <w:name w:val="Date"/>
    <w:basedOn w:val="1"/>
    <w:next w:val="1"/>
    <w:qFormat/>
    <w:uiPriority w:val="0"/>
    <w:rPr>
      <w:sz w:val="24"/>
      <w:szCs w:val="20"/>
    </w:rPr>
  </w:style>
  <w:style w:type="paragraph" w:styleId="15">
    <w:name w:val="Balloon Text"/>
    <w:basedOn w:val="1"/>
    <w:link w:val="48"/>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Body Text Indent 3"/>
    <w:basedOn w:val="1"/>
    <w:qFormat/>
    <w:uiPriority w:val="0"/>
    <w:pPr>
      <w:spacing w:after="120"/>
      <w:ind w:left="420" w:leftChars="200"/>
    </w:pPr>
    <w:rPr>
      <w:sz w:val="16"/>
      <w:szCs w:val="16"/>
    </w:r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21">
    <w:name w:val="Table Grid"/>
    <w:basedOn w:val="20"/>
    <w:qFormat/>
    <w:uiPriority w:val="59"/>
    <w:pPr>
      <w:numPr>
        <w:numId w:val="1"/>
      </w:numPr>
      <w:ind w:left="0" w:firstLine="0"/>
    </w:pPr>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3">
    <w:name w:val="Strong"/>
    <w:basedOn w:val="22"/>
    <w:qFormat/>
    <w:uiPriority w:val="0"/>
    <w:rPr>
      <w:b/>
    </w:rPr>
  </w:style>
  <w:style w:type="character" w:styleId="24">
    <w:name w:val="page number"/>
    <w:basedOn w:val="22"/>
    <w:qFormat/>
    <w:uiPriority w:val="0"/>
  </w:style>
  <w:style w:type="character" w:styleId="25">
    <w:name w:val="FollowedHyperlink"/>
    <w:basedOn w:val="22"/>
    <w:qFormat/>
    <w:uiPriority w:val="0"/>
    <w:rPr>
      <w:color w:val="800080"/>
      <w:u w:val="none"/>
    </w:rPr>
  </w:style>
  <w:style w:type="character" w:styleId="26">
    <w:name w:val="Hyperlink"/>
    <w:basedOn w:val="22"/>
    <w:qFormat/>
    <w:uiPriority w:val="0"/>
    <w:rPr>
      <w:color w:val="0000FF"/>
      <w:u w:val="none"/>
    </w:rPr>
  </w:style>
  <w:style w:type="paragraph" w:customStyle="1" w:styleId="27">
    <w:name w:val="样式2"/>
    <w:basedOn w:val="28"/>
    <w:next w:val="1"/>
    <w:qFormat/>
    <w:uiPriority w:val="0"/>
    <w:pPr>
      <w:spacing w:line="415" w:lineRule="auto"/>
    </w:pPr>
  </w:style>
  <w:style w:type="paragraph" w:customStyle="1" w:styleId="28">
    <w:name w:val="样式1"/>
    <w:basedOn w:val="1"/>
    <w:next w:val="1"/>
    <w:qFormat/>
    <w:uiPriority w:val="0"/>
    <w:pPr>
      <w:spacing w:line="360" w:lineRule="auto"/>
      <w:ind w:firstLine="420" w:firstLineChars="200"/>
    </w:pPr>
    <w:rPr>
      <w:szCs w:val="21"/>
    </w:rPr>
  </w:style>
  <w:style w:type="character" w:customStyle="1" w:styleId="29">
    <w:name w:val="标题 1 Char"/>
    <w:link w:val="2"/>
    <w:qFormat/>
    <w:uiPriority w:val="0"/>
    <w:rPr>
      <w:b/>
      <w:bCs/>
      <w:sz w:val="24"/>
      <w:szCs w:val="20"/>
    </w:rPr>
  </w:style>
  <w:style w:type="paragraph" w:customStyle="1" w:styleId="30">
    <w:name w:val="_Style 3"/>
    <w:basedOn w:val="1"/>
    <w:next w:val="1"/>
    <w:qFormat/>
    <w:uiPriority w:val="99"/>
    <w:pPr>
      <w:pBdr>
        <w:bottom w:val="single" w:color="auto" w:sz="6" w:space="1"/>
      </w:pBdr>
      <w:jc w:val="center"/>
    </w:pPr>
    <w:rPr>
      <w:rFonts w:ascii="Arial"/>
      <w:vanish/>
      <w:sz w:val="16"/>
    </w:rPr>
  </w:style>
  <w:style w:type="paragraph" w:styleId="31">
    <w:name w:val="List Paragraph"/>
    <w:basedOn w:val="1"/>
    <w:unhideWhenUsed/>
    <w:qFormat/>
    <w:uiPriority w:val="99"/>
    <w:pPr>
      <w:ind w:firstLine="420" w:firstLineChars="200"/>
    </w:pPr>
  </w:style>
  <w:style w:type="paragraph" w:customStyle="1" w:styleId="32">
    <w:name w:val="正文文字"/>
    <w:basedOn w:val="1"/>
    <w:next w:val="1"/>
    <w:qFormat/>
    <w:uiPriority w:val="99"/>
    <w:pPr>
      <w:spacing w:after="120"/>
    </w:pPr>
  </w:style>
  <w:style w:type="paragraph" w:customStyle="1" w:styleId="33">
    <w:name w:val="列出段落1"/>
    <w:basedOn w:val="1"/>
    <w:qFormat/>
    <w:uiPriority w:val="0"/>
    <w:pPr>
      <w:ind w:firstLine="420" w:firstLineChars="200"/>
    </w:pPr>
    <w:rPr>
      <w:rFonts w:ascii="Calibri" w:hAnsi="Calibri" w:cs="Calibri"/>
      <w:szCs w:val="21"/>
    </w:rPr>
  </w:style>
  <w:style w:type="character" w:customStyle="1" w:styleId="34">
    <w:name w:val="标题 1 Char1"/>
    <w:link w:val="2"/>
    <w:qFormat/>
    <w:uiPriority w:val="0"/>
    <w:rPr>
      <w:rFonts w:ascii="Times New Roman" w:hAnsi="Times New Roman" w:eastAsia="宋体" w:cs="Times New Roman"/>
      <w:b/>
      <w:bCs/>
      <w:sz w:val="24"/>
      <w:szCs w:val="20"/>
    </w:rPr>
  </w:style>
  <w:style w:type="paragraph" w:customStyle="1" w:styleId="35">
    <w:name w:val="p0"/>
    <w:basedOn w:val="1"/>
    <w:qFormat/>
    <w:uiPriority w:val="0"/>
    <w:pPr>
      <w:widowControl/>
    </w:pPr>
    <w:rPr>
      <w:kern w:val="0"/>
      <w:szCs w:val="21"/>
    </w:rPr>
  </w:style>
  <w:style w:type="paragraph" w:customStyle="1" w:styleId="36">
    <w:name w:val="段"/>
    <w:next w:val="1"/>
    <w:qFormat/>
    <w:uiPriority w:val="0"/>
    <w:pPr>
      <w:widowControl w:val="0"/>
      <w:autoSpaceDE w:val="0"/>
      <w:autoSpaceDN w:val="0"/>
      <w:ind w:left="360"/>
      <w:jc w:val="both"/>
    </w:pPr>
    <w:rPr>
      <w:rFonts w:ascii="宋体" w:hAnsi="新宋体" w:eastAsia="宋体" w:cs="Times New Roman"/>
      <w:kern w:val="2"/>
      <w:sz w:val="24"/>
      <w:szCs w:val="24"/>
      <w:lang w:val="en-US" w:eastAsia="zh-CN" w:bidi="ar-SA"/>
    </w:rPr>
  </w:style>
  <w:style w:type="paragraph" w:customStyle="1" w:styleId="37">
    <w:name w:val="_Style 10"/>
    <w:basedOn w:val="1"/>
    <w:qFormat/>
    <w:uiPriority w:val="0"/>
    <w:pPr>
      <w:ind w:firstLine="420" w:firstLineChars="200"/>
    </w:pPr>
    <w:rPr>
      <w:rFonts w:ascii="Calibri" w:hAnsi="Calibri"/>
      <w:szCs w:val="20"/>
    </w:rPr>
  </w:style>
  <w:style w:type="character" w:customStyle="1" w:styleId="38">
    <w:name w:val="font11"/>
    <w:basedOn w:val="22"/>
    <w:qFormat/>
    <w:uiPriority w:val="0"/>
    <w:rPr>
      <w:rFonts w:hint="eastAsia" w:ascii="宋体" w:hAnsi="宋体" w:eastAsia="宋体" w:cs="宋体"/>
      <w:color w:val="000000"/>
      <w:sz w:val="16"/>
      <w:szCs w:val="16"/>
      <w:u w:val="none"/>
    </w:rPr>
  </w:style>
  <w:style w:type="character" w:customStyle="1" w:styleId="39">
    <w:name w:val="font91"/>
    <w:basedOn w:val="22"/>
    <w:qFormat/>
    <w:uiPriority w:val="0"/>
    <w:rPr>
      <w:rFonts w:hint="eastAsia" w:ascii="宋体" w:hAnsi="宋体" w:eastAsia="宋体" w:cs="宋体"/>
      <w:b/>
      <w:color w:val="000000"/>
      <w:sz w:val="16"/>
      <w:szCs w:val="16"/>
      <w:u w:val="none"/>
    </w:rPr>
  </w:style>
  <w:style w:type="character" w:customStyle="1" w:styleId="40">
    <w:name w:val="font81"/>
    <w:basedOn w:val="22"/>
    <w:qFormat/>
    <w:uiPriority w:val="0"/>
    <w:rPr>
      <w:rFonts w:hint="default" w:ascii="等线" w:hAnsi="等线" w:eastAsia="等线" w:cs="等线"/>
      <w:color w:val="000000"/>
      <w:sz w:val="18"/>
      <w:szCs w:val="18"/>
      <w:u w:val="none"/>
    </w:rPr>
  </w:style>
  <w:style w:type="character" w:customStyle="1" w:styleId="41">
    <w:name w:val="font61"/>
    <w:basedOn w:val="22"/>
    <w:qFormat/>
    <w:uiPriority w:val="0"/>
    <w:rPr>
      <w:rFonts w:hint="eastAsia" w:ascii="宋体" w:hAnsi="宋体" w:eastAsia="宋体" w:cs="宋体"/>
      <w:color w:val="000000"/>
      <w:sz w:val="18"/>
      <w:szCs w:val="18"/>
      <w:u w:val="none"/>
    </w:rPr>
  </w:style>
  <w:style w:type="character" w:customStyle="1" w:styleId="42">
    <w:name w:val="font01"/>
    <w:basedOn w:val="22"/>
    <w:qFormat/>
    <w:uiPriority w:val="0"/>
    <w:rPr>
      <w:rFonts w:ascii="Calibri" w:hAnsi="Calibri" w:cs="Calibri"/>
      <w:color w:val="000000"/>
      <w:sz w:val="16"/>
      <w:szCs w:val="16"/>
      <w:u w:val="none"/>
    </w:rPr>
  </w:style>
  <w:style w:type="character" w:customStyle="1" w:styleId="43">
    <w:name w:val="font31"/>
    <w:basedOn w:val="22"/>
    <w:qFormat/>
    <w:uiPriority w:val="0"/>
    <w:rPr>
      <w:rFonts w:hint="default" w:ascii="等线 Light" w:hAnsi="等线 Light" w:eastAsia="等线 Light" w:cs="等线 Light"/>
      <w:color w:val="000000"/>
      <w:sz w:val="18"/>
      <w:szCs w:val="18"/>
      <w:u w:val="none"/>
    </w:rPr>
  </w:style>
  <w:style w:type="character" w:customStyle="1" w:styleId="44">
    <w:name w:val="font51"/>
    <w:basedOn w:val="22"/>
    <w:qFormat/>
    <w:uiPriority w:val="0"/>
    <w:rPr>
      <w:rFonts w:ascii="华文楷体" w:hAnsi="华文楷体" w:eastAsia="华文楷体" w:cs="华文楷体"/>
      <w:color w:val="000000"/>
      <w:sz w:val="20"/>
      <w:szCs w:val="20"/>
      <w:u w:val="none"/>
    </w:rPr>
  </w:style>
  <w:style w:type="character" w:customStyle="1" w:styleId="45">
    <w:name w:val="font122"/>
    <w:basedOn w:val="22"/>
    <w:qFormat/>
    <w:uiPriority w:val="0"/>
    <w:rPr>
      <w:rFonts w:ascii="华文楷体" w:hAnsi="华文楷体" w:eastAsia="华文楷体" w:cs="华文楷体"/>
      <w:color w:val="000000"/>
      <w:sz w:val="18"/>
      <w:szCs w:val="18"/>
      <w:u w:val="none"/>
    </w:rPr>
  </w:style>
  <w:style w:type="character" w:customStyle="1" w:styleId="46">
    <w:name w:val="font161"/>
    <w:basedOn w:val="22"/>
    <w:qFormat/>
    <w:uiPriority w:val="0"/>
    <w:rPr>
      <w:rFonts w:ascii="华文楷体" w:hAnsi="华文楷体" w:eastAsia="华文楷体" w:cs="华文楷体"/>
      <w:color w:val="000000"/>
      <w:sz w:val="20"/>
      <w:szCs w:val="20"/>
      <w:u w:val="none"/>
    </w:rPr>
  </w:style>
  <w:style w:type="character" w:customStyle="1" w:styleId="47">
    <w:name w:val="font151"/>
    <w:basedOn w:val="22"/>
    <w:qFormat/>
    <w:uiPriority w:val="0"/>
    <w:rPr>
      <w:rFonts w:ascii="华文楷体" w:hAnsi="华文楷体" w:eastAsia="华文楷体" w:cs="华文楷体"/>
      <w:color w:val="000000"/>
      <w:sz w:val="20"/>
      <w:szCs w:val="20"/>
      <w:u w:val="none"/>
    </w:rPr>
  </w:style>
  <w:style w:type="character" w:customStyle="1" w:styleId="48">
    <w:name w:val="批注框文本 Char"/>
    <w:basedOn w:val="22"/>
    <w:link w:val="15"/>
    <w:qFormat/>
    <w:uiPriority w:val="0"/>
    <w:rPr>
      <w:kern w:val="2"/>
      <w:sz w:val="18"/>
      <w:szCs w:val="18"/>
    </w:rPr>
  </w:style>
  <w:style w:type="character" w:customStyle="1" w:styleId="49">
    <w:name w:val="10_5"/>
    <w:basedOn w:val="22"/>
    <w:qFormat/>
    <w:uiPriority w:val="0"/>
    <w:rPr>
      <w:rFonts w:hint="default" w:ascii="Times New Roman" w:hAnsi="Times New Roman" w:cs="Times New Roman"/>
    </w:rPr>
  </w:style>
  <w:style w:type="character" w:customStyle="1" w:styleId="50">
    <w:name w:val="dot"/>
    <w:basedOn w:val="22"/>
    <w:qFormat/>
    <w:uiPriority w:val="0"/>
  </w:style>
  <w:style w:type="character" w:customStyle="1" w:styleId="51">
    <w:name w:val="isnow"/>
    <w:basedOn w:val="22"/>
    <w:qFormat/>
    <w:uiPriority w:val="0"/>
    <w:rPr>
      <w:color w:val="FFFFFF"/>
      <w:shd w:val="clear" w:fill="FF6801"/>
    </w:rPr>
  </w:style>
  <w:style w:type="character" w:customStyle="1" w:styleId="52">
    <w:name w:val="标题 #2 + 间距 18 pt"/>
    <w:basedOn w:val="53"/>
    <w:qFormat/>
    <w:uiPriority w:val="0"/>
    <w:rPr>
      <w:rFonts w:ascii="MingLiU" w:hAnsi="MingLiU" w:eastAsia="MingLiU" w:cs="MingLiU"/>
      <w:color w:val="000000"/>
      <w:spacing w:val="370"/>
      <w:w w:val="100"/>
      <w:position w:val="0"/>
      <w:sz w:val="29"/>
      <w:szCs w:val="29"/>
      <w:u w:val="none"/>
      <w:lang w:val="zh-TW"/>
    </w:rPr>
  </w:style>
  <w:style w:type="character" w:customStyle="1" w:styleId="53">
    <w:name w:val="标题 #2_"/>
    <w:basedOn w:val="22"/>
    <w:link w:val="54"/>
    <w:qFormat/>
    <w:uiPriority w:val="0"/>
    <w:rPr>
      <w:rFonts w:ascii="MingLiU" w:hAnsi="MingLiU" w:eastAsia="MingLiU" w:cs="MingLiU"/>
      <w:sz w:val="29"/>
      <w:szCs w:val="29"/>
    </w:rPr>
  </w:style>
  <w:style w:type="paragraph" w:customStyle="1" w:styleId="54">
    <w:name w:val="标题 #2"/>
    <w:basedOn w:val="1"/>
    <w:link w:val="53"/>
    <w:qFormat/>
    <w:uiPriority w:val="0"/>
    <w:pPr>
      <w:shd w:val="clear" w:color="auto" w:fill="FFFFFF"/>
      <w:spacing w:before="240" w:after="360" w:line="0" w:lineRule="atLeast"/>
      <w:jc w:val="center"/>
      <w:outlineLvl w:val="1"/>
    </w:pPr>
    <w:rPr>
      <w:rFonts w:ascii="MingLiU" w:hAnsi="MingLiU" w:eastAsia="MingLiU" w:cs="MingLiU"/>
      <w:sz w:val="29"/>
      <w:szCs w:val="29"/>
    </w:rPr>
  </w:style>
  <w:style w:type="paragraph" w:customStyle="1" w:styleId="55">
    <w:name w:val="Char1 Char Char Char 字元 Char Char 字元 Char 字元 Char1 Char Char Char"/>
    <w:basedOn w:val="1"/>
    <w:qFormat/>
    <w:uiPriority w:val="0"/>
  </w:style>
  <w:style w:type="paragraph" w:customStyle="1" w:styleId="56">
    <w:name w:val="目录 81"/>
    <w:basedOn w:val="1"/>
    <w:next w:val="1"/>
    <w:autoRedefine/>
    <w:qFormat/>
    <w:uiPriority w:val="99"/>
    <w:pPr>
      <w:ind w:left="2940"/>
    </w:pPr>
  </w:style>
  <w:style w:type="paragraph" w:customStyle="1" w:styleId="57">
    <w:name w:val="Normal_17"/>
    <w:autoRedefine/>
    <w:qFormat/>
    <w:uiPriority w:val="0"/>
    <w:pPr>
      <w:widowControl w:val="0"/>
      <w:jc w:val="both"/>
    </w:pPr>
    <w:rPr>
      <w:rFonts w:ascii="Calibri" w:hAnsi="Calibri" w:eastAsia="宋体" w:cs="Times New Roman"/>
      <w:lang w:val="en-US" w:eastAsia="zh-CN" w:bidi="ar-SA"/>
    </w:rPr>
  </w:style>
  <w:style w:type="paragraph" w:customStyle="1" w:styleId="58">
    <w:name w:val="首行缩进"/>
    <w:basedOn w:val="1"/>
    <w:autoRedefine/>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35</Pages>
  <Words>8828</Words>
  <Characters>9437</Characters>
  <Lines>147</Lines>
  <Paragraphs>41</Paragraphs>
  <TotalTime>13</TotalTime>
  <ScaleCrop>false</ScaleCrop>
  <LinksUpToDate>false</LinksUpToDate>
  <CharactersWithSpaces>9679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张少</dc:creator>
  <cp:lastModifiedBy>沛</cp:lastModifiedBy>
  <cp:lastPrinted>2026-04-07T03:02:00Z</cp:lastPrinted>
  <dcterms:modified xsi:type="dcterms:W3CDTF">2026-04-09T01:11:16Z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7BD899101DDB436988FA392437BAB8F3_13</vt:lpwstr>
  </property>
  <property fmtid="{D5CDD505-2E9C-101B-9397-08002B2CF9AE}" pid="4" name="KSOTemplateDocerSaveRecord">
    <vt:lpwstr>eyJoZGlkIjoiNTdhZDhkZWExMWVjMTI4ZGNkNjYyMGVmODM0NGI1OTQiLCJ1c2VySWQiOiI5NTc5MzU2MTkifQ==</vt:lpwstr>
  </property>
</Properties>
</file>