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32B28">
      <w:pPr>
        <w:rPr>
          <w:rFonts w:ascii="黑体" w:eastAsia="黑体"/>
          <w:color w:val="auto"/>
          <w:sz w:val="32"/>
          <w:szCs w:val="32"/>
          <w:highlight w:val="none"/>
        </w:rPr>
      </w:pPr>
      <w:bookmarkStart w:id="3" w:name="_GoBack"/>
    </w:p>
    <w:p w14:paraId="3567E748">
      <w:pPr>
        <w:rPr>
          <w:rFonts w:ascii="黑体" w:eastAsia="黑体"/>
          <w:color w:val="auto"/>
          <w:sz w:val="32"/>
          <w:szCs w:val="32"/>
          <w:highlight w:val="none"/>
        </w:rPr>
      </w:pPr>
    </w:p>
    <w:p w14:paraId="270A7FF1">
      <w:pPr>
        <w:pStyle w:val="13"/>
        <w:adjustRightInd w:val="0"/>
        <w:snapToGrid w:val="0"/>
        <w:spacing w:line="360" w:lineRule="auto"/>
        <w:rPr>
          <w:rFonts w:hAnsi="宋体"/>
          <w:b/>
          <w:color w:val="auto"/>
          <w:sz w:val="32"/>
          <w:szCs w:val="32"/>
          <w:highlight w:val="none"/>
        </w:rPr>
      </w:pPr>
    </w:p>
    <w:p w14:paraId="43409A38">
      <w:pPr>
        <w:pStyle w:val="13"/>
        <w:adjustRightInd w:val="0"/>
        <w:snapToGrid w:val="0"/>
        <w:spacing w:line="360" w:lineRule="auto"/>
        <w:jc w:val="center"/>
        <w:rPr>
          <w:rFonts w:hAnsi="宋体"/>
          <w:b/>
          <w:color w:val="auto"/>
          <w:sz w:val="84"/>
          <w:szCs w:val="84"/>
          <w:highlight w:val="none"/>
        </w:rPr>
      </w:pPr>
    </w:p>
    <w:p w14:paraId="13F77C2E">
      <w:pPr>
        <w:pStyle w:val="13"/>
        <w:adjustRightInd w:val="0"/>
        <w:snapToGrid w:val="0"/>
        <w:spacing w:line="360" w:lineRule="auto"/>
        <w:jc w:val="center"/>
        <w:rPr>
          <w:rFonts w:hAnsi="宋体"/>
          <w:b/>
          <w:color w:val="auto"/>
          <w:sz w:val="84"/>
          <w:szCs w:val="84"/>
          <w:highlight w:val="none"/>
        </w:rPr>
      </w:pPr>
      <w:r>
        <w:rPr>
          <w:rFonts w:hint="eastAsia" w:hAnsi="宋体"/>
          <w:b/>
          <w:color w:val="auto"/>
          <w:sz w:val="84"/>
          <w:szCs w:val="84"/>
          <w:highlight w:val="none"/>
          <w:lang w:val="en-US" w:eastAsia="zh-CN"/>
        </w:rPr>
        <w:t>竞争性谈判采购</w:t>
      </w:r>
      <w:r>
        <w:rPr>
          <w:rFonts w:hint="eastAsia" w:hAnsi="宋体"/>
          <w:b/>
          <w:color w:val="auto"/>
          <w:sz w:val="84"/>
          <w:szCs w:val="84"/>
          <w:highlight w:val="none"/>
        </w:rPr>
        <w:t>文件</w:t>
      </w:r>
    </w:p>
    <w:p w14:paraId="59F146CB">
      <w:pPr>
        <w:pStyle w:val="13"/>
        <w:adjustRightInd w:val="0"/>
        <w:snapToGrid w:val="0"/>
        <w:spacing w:beforeLines="50" w:line="360" w:lineRule="auto"/>
        <w:rPr>
          <w:b/>
          <w:color w:val="auto"/>
          <w:sz w:val="32"/>
          <w:szCs w:val="32"/>
          <w:highlight w:val="none"/>
        </w:rPr>
      </w:pPr>
    </w:p>
    <w:p w14:paraId="0CAE3538">
      <w:pPr>
        <w:pStyle w:val="13"/>
        <w:adjustRightInd w:val="0"/>
        <w:snapToGrid w:val="0"/>
        <w:spacing w:beforeLines="50" w:line="480" w:lineRule="auto"/>
        <w:ind w:firstLine="960" w:firstLineChars="300"/>
        <w:rPr>
          <w:rFonts w:hAnsi="宋体"/>
          <w:color w:val="auto"/>
          <w:sz w:val="32"/>
          <w:szCs w:val="32"/>
          <w:highlight w:val="none"/>
        </w:rPr>
      </w:pPr>
    </w:p>
    <w:p w14:paraId="6E4B2F5A">
      <w:pPr>
        <w:pStyle w:val="13"/>
        <w:adjustRightInd w:val="0"/>
        <w:snapToGrid w:val="0"/>
        <w:spacing w:beforeLines="50" w:line="480" w:lineRule="auto"/>
        <w:rPr>
          <w:rFonts w:hAnsi="宋体"/>
          <w:color w:val="auto"/>
          <w:sz w:val="32"/>
          <w:szCs w:val="32"/>
          <w:highlight w:val="none"/>
        </w:rPr>
      </w:pPr>
    </w:p>
    <w:p w14:paraId="30F82FC7">
      <w:pPr>
        <w:pStyle w:val="13"/>
        <w:keepNext w:val="0"/>
        <w:keepLines w:val="0"/>
        <w:pageBreakBefore w:val="0"/>
        <w:widowControl w:val="0"/>
        <w:kinsoku/>
        <w:wordWrap/>
        <w:overflowPunct/>
        <w:topLinePunct w:val="0"/>
        <w:autoSpaceDE/>
        <w:autoSpaceDN/>
        <w:bidi w:val="0"/>
        <w:adjustRightInd w:val="0"/>
        <w:snapToGrid w:val="0"/>
        <w:spacing w:beforeLines="50" w:line="360" w:lineRule="auto"/>
        <w:ind w:left="2718" w:leftChars="456" w:hanging="1760" w:hangingChars="550"/>
        <w:jc w:val="left"/>
        <w:textAlignment w:val="auto"/>
        <w:rPr>
          <w:rFonts w:hint="default" w:hAnsi="宋体"/>
          <w:b/>
          <w:bCs/>
          <w:color w:val="auto"/>
          <w:sz w:val="32"/>
          <w:szCs w:val="32"/>
          <w:highlight w:val="none"/>
          <w:u w:val="single"/>
          <w:lang w:val="en-US" w:eastAsia="zh-CN"/>
        </w:rPr>
      </w:pPr>
      <w:r>
        <w:rPr>
          <w:rFonts w:hint="eastAsia" w:hAnsi="宋体"/>
          <w:color w:val="auto"/>
          <w:sz w:val="32"/>
          <w:szCs w:val="32"/>
          <w:highlight w:val="none"/>
          <w:lang w:val="en-US" w:eastAsia="zh-CN"/>
        </w:rPr>
        <w:t>项目名称：</w:t>
      </w:r>
      <w:r>
        <w:rPr>
          <w:rFonts w:hint="eastAsia" w:hAnsi="宋体"/>
          <w:b/>
          <w:bCs/>
          <w:color w:val="auto"/>
          <w:sz w:val="32"/>
          <w:szCs w:val="32"/>
          <w:highlight w:val="none"/>
          <w:u w:val="single"/>
          <w:lang w:val="en-US" w:eastAsia="zh-CN"/>
        </w:rPr>
        <w:t xml:space="preserve">株洲北斗应用与信息技术产业示范基地配套基础设施项目（一期）钢筋材料采购 </w:t>
      </w:r>
    </w:p>
    <w:p w14:paraId="2726CA95">
      <w:pPr>
        <w:pStyle w:val="13"/>
        <w:adjustRightInd w:val="0"/>
        <w:snapToGrid w:val="0"/>
        <w:spacing w:beforeLines="50" w:line="360" w:lineRule="auto"/>
        <w:ind w:firstLine="960" w:firstLineChars="300"/>
        <w:rPr>
          <w:rFonts w:hint="eastAsia" w:hAnsi="宋体" w:eastAsia="宋体"/>
          <w:color w:val="auto"/>
          <w:sz w:val="32"/>
          <w:szCs w:val="32"/>
          <w:highlight w:val="none"/>
          <w:lang w:eastAsia="zh-CN"/>
        </w:rPr>
      </w:pPr>
      <w:r>
        <w:rPr>
          <w:rFonts w:hint="eastAsia" w:hAnsi="宋体"/>
          <w:color w:val="auto"/>
          <w:sz w:val="32"/>
          <w:szCs w:val="32"/>
          <w:highlight w:val="none"/>
        </w:rPr>
        <w:t>采 购 人：</w:t>
      </w:r>
      <w:r>
        <w:rPr>
          <w:rFonts w:hint="eastAsia" w:hAnsi="宋体"/>
          <w:b/>
          <w:bCs/>
          <w:color w:val="auto"/>
          <w:sz w:val="32"/>
          <w:szCs w:val="32"/>
          <w:highlight w:val="none"/>
          <w:u w:val="single"/>
          <w:lang w:val="en-US" w:eastAsia="zh-CN"/>
        </w:rPr>
        <w:t>株洲市云龙发展集团城市建设有限公司</w:t>
      </w:r>
    </w:p>
    <w:p w14:paraId="7EFD629C">
      <w:pPr>
        <w:pStyle w:val="13"/>
        <w:adjustRightInd w:val="0"/>
        <w:snapToGrid w:val="0"/>
        <w:spacing w:beforeLines="50" w:line="360" w:lineRule="auto"/>
        <w:ind w:firstLine="960" w:firstLineChars="300"/>
        <w:rPr>
          <w:rFonts w:hint="eastAsia" w:hAnsi="宋体" w:eastAsia="宋体"/>
          <w:color w:val="auto"/>
          <w:sz w:val="32"/>
          <w:szCs w:val="32"/>
          <w:highlight w:val="none"/>
          <w:lang w:eastAsia="zh-CN"/>
        </w:rPr>
      </w:pPr>
    </w:p>
    <w:p w14:paraId="75ABF7D4">
      <w:pPr>
        <w:pStyle w:val="13"/>
        <w:adjustRightInd w:val="0"/>
        <w:snapToGrid w:val="0"/>
        <w:spacing w:beforeLines="50" w:line="360" w:lineRule="auto"/>
        <w:ind w:firstLine="960" w:firstLineChars="300"/>
        <w:rPr>
          <w:rFonts w:hint="default" w:hAnsi="宋体" w:eastAsia="宋体"/>
          <w:b/>
          <w:bCs/>
          <w:color w:val="auto"/>
          <w:sz w:val="32"/>
          <w:szCs w:val="32"/>
          <w:highlight w:val="none"/>
          <w:u w:val="single"/>
          <w:lang w:val="en-US" w:eastAsia="zh-CN"/>
        </w:rPr>
        <w:sectPr>
          <w:footerReference r:id="rId3" w:type="default"/>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docGrid w:type="lines" w:linePitch="312" w:charSpace="0"/>
        </w:sectPr>
      </w:pPr>
      <w:r>
        <w:rPr>
          <w:rFonts w:hint="eastAsia" w:hAnsi="宋体"/>
          <w:color w:val="auto"/>
          <w:sz w:val="32"/>
          <w:szCs w:val="32"/>
          <w:highlight w:val="none"/>
        </w:rPr>
        <w:t>日    期：</w:t>
      </w:r>
      <w:r>
        <w:rPr>
          <w:rFonts w:hint="eastAsia" w:hAnsi="宋体"/>
          <w:b/>
          <w:bCs/>
          <w:color w:val="auto"/>
          <w:sz w:val="32"/>
          <w:szCs w:val="32"/>
          <w:highlight w:val="none"/>
          <w:u w:val="single"/>
        </w:rPr>
        <w:t>二〇二</w:t>
      </w:r>
      <w:r>
        <w:rPr>
          <w:rFonts w:hint="eastAsia" w:hAnsi="宋体"/>
          <w:b/>
          <w:bCs/>
          <w:color w:val="auto"/>
          <w:sz w:val="32"/>
          <w:szCs w:val="32"/>
          <w:highlight w:val="none"/>
          <w:u w:val="single"/>
          <w:lang w:val="en-US" w:eastAsia="zh-CN"/>
        </w:rPr>
        <w:t>六</w:t>
      </w:r>
      <w:r>
        <w:rPr>
          <w:rFonts w:hint="eastAsia" w:hAnsi="宋体"/>
          <w:b/>
          <w:bCs/>
          <w:color w:val="auto"/>
          <w:sz w:val="32"/>
          <w:szCs w:val="32"/>
          <w:highlight w:val="none"/>
          <w:u w:val="single"/>
        </w:rPr>
        <w:t>年</w:t>
      </w:r>
      <w:r>
        <w:rPr>
          <w:rFonts w:hint="eastAsia" w:hAnsi="宋体"/>
          <w:b/>
          <w:bCs/>
          <w:color w:val="auto"/>
          <w:sz w:val="32"/>
          <w:szCs w:val="32"/>
          <w:highlight w:val="none"/>
          <w:u w:val="single"/>
          <w:lang w:val="en-US" w:eastAsia="zh-CN"/>
        </w:rPr>
        <w:t>四</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 xml:space="preserve">   </w:t>
      </w:r>
    </w:p>
    <w:p w14:paraId="6A88E327">
      <w:pPr>
        <w:pStyle w:val="13"/>
        <w:adjustRightInd w:val="0"/>
        <w:snapToGrid w:val="0"/>
        <w:spacing w:line="360" w:lineRule="auto"/>
        <w:jc w:val="center"/>
        <w:rPr>
          <w:rFonts w:ascii="黑体" w:hAnsi="宋体" w:eastAsia="黑体"/>
          <w:b/>
          <w:color w:val="auto"/>
          <w:spacing w:val="160"/>
          <w:sz w:val="32"/>
          <w:szCs w:val="32"/>
          <w:highlight w:val="none"/>
        </w:rPr>
      </w:pPr>
      <w:r>
        <w:rPr>
          <w:rFonts w:hint="eastAsia" w:ascii="黑体" w:hAnsi="宋体" w:eastAsia="黑体"/>
          <w:b/>
          <w:color w:val="auto"/>
          <w:spacing w:val="160"/>
          <w:sz w:val="32"/>
          <w:szCs w:val="32"/>
          <w:highlight w:val="none"/>
        </w:rPr>
        <w:t>目录</w:t>
      </w:r>
    </w:p>
    <w:p w14:paraId="48E7B8DB">
      <w:pPr>
        <w:pStyle w:val="13"/>
        <w:adjustRightInd w:val="0"/>
        <w:snapToGrid w:val="0"/>
        <w:spacing w:line="360" w:lineRule="auto"/>
        <w:rPr>
          <w:rFonts w:hint="eastAsia" w:hAnsi="宋体" w:eastAsia="宋体"/>
          <w:b/>
          <w:color w:val="auto"/>
          <w:sz w:val="24"/>
          <w:szCs w:val="24"/>
          <w:highlight w:val="none"/>
          <w:lang w:eastAsia="zh-CN"/>
        </w:rPr>
      </w:pPr>
      <w:r>
        <w:rPr>
          <w:rFonts w:hint="eastAsia" w:hAnsi="宋体"/>
          <w:b/>
          <w:color w:val="auto"/>
          <w:sz w:val="24"/>
          <w:szCs w:val="24"/>
          <w:highlight w:val="none"/>
        </w:rPr>
        <w:t xml:space="preserve">第一章  </w:t>
      </w:r>
      <w:r>
        <w:rPr>
          <w:rFonts w:hint="eastAsia" w:hAnsi="宋体"/>
          <w:b/>
          <w:color w:val="auto"/>
          <w:sz w:val="24"/>
          <w:szCs w:val="24"/>
          <w:highlight w:val="none"/>
          <w:lang w:val="en-US" w:eastAsia="zh-CN"/>
        </w:rPr>
        <w:t>竞谈</w:t>
      </w:r>
      <w:r>
        <w:rPr>
          <w:rFonts w:hint="eastAsia" w:hAnsi="宋体"/>
          <w:b/>
          <w:color w:val="auto"/>
          <w:sz w:val="24"/>
          <w:szCs w:val="24"/>
          <w:highlight w:val="none"/>
          <w:lang w:eastAsia="zh-CN"/>
        </w:rPr>
        <w:t>采购邀请书</w:t>
      </w:r>
    </w:p>
    <w:p w14:paraId="0379E16E">
      <w:pPr>
        <w:pStyle w:val="13"/>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第二章  供应商须知</w:t>
      </w:r>
    </w:p>
    <w:p w14:paraId="4B4D05B3">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第三章  评审办法</w:t>
      </w:r>
    </w:p>
    <w:p w14:paraId="30E02741">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xml:space="preserve">第四章  </w:t>
      </w:r>
      <w:r>
        <w:rPr>
          <w:rFonts w:hint="eastAsia" w:hAnsi="宋体"/>
          <w:b/>
          <w:color w:val="auto"/>
          <w:sz w:val="24"/>
          <w:highlight w:val="none"/>
        </w:rPr>
        <w:t>采购需求</w:t>
      </w:r>
    </w:p>
    <w:p w14:paraId="7089CC54">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第五章  响应文件组成</w:t>
      </w:r>
    </w:p>
    <w:p w14:paraId="395D95A3">
      <w:pPr>
        <w:rPr>
          <w:rFonts w:ascii="宋体" w:hAnsi="宋体" w:cs="宋体"/>
          <w:b/>
          <w:color w:val="auto"/>
          <w:sz w:val="24"/>
          <w:highlight w:val="none"/>
        </w:rPr>
      </w:pPr>
    </w:p>
    <w:p w14:paraId="6AF2C4D5">
      <w:pPr>
        <w:pStyle w:val="2"/>
        <w:rPr>
          <w:rFonts w:ascii="宋体" w:hAnsi="宋体" w:cs="宋体"/>
          <w:b/>
          <w:color w:val="auto"/>
          <w:sz w:val="24"/>
          <w:highlight w:val="none"/>
        </w:rPr>
      </w:pPr>
    </w:p>
    <w:p w14:paraId="2F7A2C8C">
      <w:pPr>
        <w:rPr>
          <w:rFonts w:ascii="宋体" w:hAnsi="宋体" w:cs="宋体"/>
          <w:b/>
          <w:color w:val="auto"/>
          <w:sz w:val="24"/>
          <w:highlight w:val="none"/>
        </w:rPr>
      </w:pPr>
    </w:p>
    <w:p w14:paraId="32FC42E8">
      <w:pPr>
        <w:pStyle w:val="2"/>
        <w:rPr>
          <w:rFonts w:ascii="宋体" w:hAnsi="宋体" w:cs="宋体"/>
          <w:b/>
          <w:color w:val="auto"/>
          <w:sz w:val="24"/>
          <w:highlight w:val="none"/>
        </w:rPr>
      </w:pPr>
    </w:p>
    <w:p w14:paraId="60A76D9C">
      <w:pPr>
        <w:rPr>
          <w:rFonts w:ascii="宋体" w:hAnsi="宋体" w:cs="宋体"/>
          <w:b/>
          <w:color w:val="auto"/>
          <w:sz w:val="24"/>
          <w:highlight w:val="none"/>
        </w:rPr>
      </w:pPr>
    </w:p>
    <w:p w14:paraId="740C3D70">
      <w:pPr>
        <w:pStyle w:val="2"/>
        <w:rPr>
          <w:rFonts w:ascii="宋体" w:hAnsi="宋体" w:cs="宋体"/>
          <w:b/>
          <w:color w:val="auto"/>
          <w:sz w:val="24"/>
          <w:highlight w:val="none"/>
        </w:rPr>
      </w:pPr>
    </w:p>
    <w:p w14:paraId="4FB079C6">
      <w:pPr>
        <w:rPr>
          <w:rFonts w:ascii="宋体" w:hAnsi="宋体" w:cs="宋体"/>
          <w:b/>
          <w:color w:val="auto"/>
          <w:sz w:val="24"/>
          <w:highlight w:val="none"/>
        </w:rPr>
      </w:pPr>
    </w:p>
    <w:p w14:paraId="7257F9BC">
      <w:pPr>
        <w:pStyle w:val="2"/>
        <w:rPr>
          <w:rFonts w:ascii="宋体" w:hAnsi="宋体" w:cs="宋体"/>
          <w:b/>
          <w:color w:val="auto"/>
          <w:sz w:val="24"/>
          <w:highlight w:val="none"/>
        </w:rPr>
      </w:pPr>
    </w:p>
    <w:p w14:paraId="08A73746">
      <w:pPr>
        <w:rPr>
          <w:rFonts w:ascii="宋体" w:hAnsi="宋体" w:cs="宋体"/>
          <w:b/>
          <w:color w:val="auto"/>
          <w:sz w:val="24"/>
          <w:highlight w:val="none"/>
        </w:rPr>
      </w:pPr>
    </w:p>
    <w:p w14:paraId="2FBBA22C">
      <w:pPr>
        <w:pStyle w:val="2"/>
        <w:rPr>
          <w:rFonts w:ascii="宋体" w:hAnsi="宋体" w:cs="宋体"/>
          <w:b/>
          <w:color w:val="auto"/>
          <w:sz w:val="24"/>
          <w:highlight w:val="none"/>
        </w:rPr>
      </w:pPr>
    </w:p>
    <w:p w14:paraId="5F2C4887">
      <w:pPr>
        <w:rPr>
          <w:rFonts w:ascii="宋体" w:hAnsi="宋体" w:cs="宋体"/>
          <w:b/>
          <w:color w:val="auto"/>
          <w:sz w:val="24"/>
          <w:highlight w:val="none"/>
        </w:rPr>
      </w:pPr>
    </w:p>
    <w:p w14:paraId="7B21CD21">
      <w:pPr>
        <w:pStyle w:val="2"/>
        <w:rPr>
          <w:rFonts w:ascii="宋体" w:hAnsi="宋体" w:cs="宋体"/>
          <w:b/>
          <w:color w:val="auto"/>
          <w:sz w:val="24"/>
          <w:highlight w:val="none"/>
        </w:rPr>
      </w:pPr>
    </w:p>
    <w:p w14:paraId="18A368F3">
      <w:pPr>
        <w:rPr>
          <w:rFonts w:ascii="宋体" w:hAnsi="宋体" w:cs="宋体"/>
          <w:b/>
          <w:color w:val="auto"/>
          <w:sz w:val="24"/>
          <w:highlight w:val="none"/>
        </w:rPr>
      </w:pPr>
    </w:p>
    <w:p w14:paraId="20FA821F">
      <w:pPr>
        <w:pStyle w:val="2"/>
        <w:rPr>
          <w:rFonts w:ascii="宋体" w:hAnsi="宋体" w:cs="宋体"/>
          <w:b/>
          <w:color w:val="auto"/>
          <w:sz w:val="24"/>
          <w:highlight w:val="none"/>
        </w:rPr>
      </w:pPr>
    </w:p>
    <w:p w14:paraId="78718CD8">
      <w:pPr>
        <w:rPr>
          <w:rFonts w:ascii="宋体" w:hAnsi="宋体" w:cs="宋体"/>
          <w:b/>
          <w:color w:val="auto"/>
          <w:sz w:val="24"/>
          <w:highlight w:val="none"/>
        </w:rPr>
      </w:pPr>
    </w:p>
    <w:p w14:paraId="234B64AA">
      <w:pPr>
        <w:pStyle w:val="2"/>
        <w:rPr>
          <w:rFonts w:ascii="宋体" w:hAnsi="宋体" w:cs="宋体"/>
          <w:b/>
          <w:color w:val="auto"/>
          <w:sz w:val="24"/>
          <w:highlight w:val="none"/>
        </w:rPr>
      </w:pPr>
    </w:p>
    <w:p w14:paraId="4C0AD932">
      <w:pPr>
        <w:rPr>
          <w:rFonts w:ascii="宋体" w:hAnsi="宋体" w:cs="宋体"/>
          <w:b/>
          <w:color w:val="auto"/>
          <w:sz w:val="24"/>
          <w:highlight w:val="none"/>
        </w:rPr>
      </w:pPr>
    </w:p>
    <w:p w14:paraId="6F39EA29">
      <w:pPr>
        <w:pStyle w:val="2"/>
        <w:rPr>
          <w:rFonts w:ascii="宋体" w:hAnsi="宋体" w:cs="宋体"/>
          <w:b/>
          <w:color w:val="auto"/>
          <w:sz w:val="24"/>
          <w:highlight w:val="none"/>
        </w:rPr>
      </w:pPr>
    </w:p>
    <w:p w14:paraId="091BCB19">
      <w:pPr>
        <w:rPr>
          <w:rFonts w:ascii="宋体" w:hAnsi="宋体" w:cs="宋体"/>
          <w:b/>
          <w:color w:val="auto"/>
          <w:sz w:val="24"/>
          <w:highlight w:val="none"/>
        </w:rPr>
      </w:pPr>
    </w:p>
    <w:p w14:paraId="1E482E1C">
      <w:pPr>
        <w:pStyle w:val="2"/>
        <w:rPr>
          <w:rFonts w:ascii="宋体" w:hAnsi="宋体" w:cs="宋体"/>
          <w:b/>
          <w:color w:val="auto"/>
          <w:sz w:val="24"/>
          <w:highlight w:val="none"/>
        </w:rPr>
      </w:pPr>
    </w:p>
    <w:p w14:paraId="44E297E4">
      <w:pPr>
        <w:rPr>
          <w:rFonts w:ascii="宋体" w:hAnsi="宋体" w:cs="宋体"/>
          <w:b/>
          <w:color w:val="auto"/>
          <w:sz w:val="24"/>
          <w:highlight w:val="none"/>
        </w:rPr>
      </w:pPr>
    </w:p>
    <w:p w14:paraId="0C24627D">
      <w:pPr>
        <w:pStyle w:val="2"/>
        <w:rPr>
          <w:rFonts w:ascii="宋体" w:hAnsi="宋体" w:cs="宋体"/>
          <w:b/>
          <w:color w:val="auto"/>
          <w:sz w:val="24"/>
          <w:highlight w:val="none"/>
        </w:rPr>
      </w:pPr>
    </w:p>
    <w:p w14:paraId="1094B9C2">
      <w:pPr>
        <w:rPr>
          <w:rFonts w:ascii="宋体" w:hAnsi="宋体" w:cs="宋体"/>
          <w:b/>
          <w:color w:val="auto"/>
          <w:sz w:val="24"/>
          <w:highlight w:val="none"/>
        </w:rPr>
      </w:pPr>
    </w:p>
    <w:p w14:paraId="440C14BC">
      <w:pPr>
        <w:pStyle w:val="2"/>
        <w:rPr>
          <w:rFonts w:ascii="宋体" w:hAnsi="宋体" w:cs="宋体"/>
          <w:b/>
          <w:color w:val="auto"/>
          <w:sz w:val="24"/>
          <w:highlight w:val="none"/>
        </w:rPr>
      </w:pPr>
    </w:p>
    <w:p w14:paraId="461B9214">
      <w:pPr>
        <w:rPr>
          <w:rFonts w:ascii="宋体" w:hAnsi="宋体" w:cs="宋体"/>
          <w:b/>
          <w:color w:val="auto"/>
          <w:sz w:val="24"/>
          <w:highlight w:val="none"/>
        </w:rPr>
      </w:pPr>
    </w:p>
    <w:p w14:paraId="0CE4DE30">
      <w:pPr>
        <w:pStyle w:val="2"/>
        <w:rPr>
          <w:rFonts w:ascii="宋体" w:hAnsi="宋体" w:cs="宋体"/>
          <w:b/>
          <w:color w:val="auto"/>
          <w:sz w:val="24"/>
          <w:highlight w:val="none"/>
        </w:rPr>
      </w:pPr>
    </w:p>
    <w:p w14:paraId="21F82789">
      <w:pPr>
        <w:rPr>
          <w:rFonts w:ascii="宋体" w:hAnsi="宋体" w:cs="宋体"/>
          <w:b/>
          <w:color w:val="auto"/>
          <w:sz w:val="24"/>
          <w:highlight w:val="none"/>
        </w:rPr>
      </w:pPr>
    </w:p>
    <w:p w14:paraId="79F6EC47">
      <w:pPr>
        <w:pStyle w:val="2"/>
        <w:rPr>
          <w:rFonts w:ascii="宋体" w:hAnsi="宋体" w:cs="宋体"/>
          <w:b/>
          <w:color w:val="auto"/>
          <w:sz w:val="24"/>
          <w:highlight w:val="none"/>
        </w:rPr>
      </w:pPr>
    </w:p>
    <w:p w14:paraId="2CBE7394">
      <w:pPr>
        <w:rPr>
          <w:color w:val="auto"/>
          <w:highlight w:val="none"/>
        </w:rPr>
      </w:pPr>
    </w:p>
    <w:p w14:paraId="0190BC91">
      <w:pPr>
        <w:keepNext w:val="0"/>
        <w:keepLines w:val="0"/>
        <w:pageBreakBefore w:val="0"/>
        <w:widowControl w:val="0"/>
        <w:kinsoku/>
        <w:wordWrap/>
        <w:overflowPunct/>
        <w:topLinePunct w:val="0"/>
        <w:bidi w:val="0"/>
        <w:spacing w:line="400" w:lineRule="exact"/>
        <w:jc w:val="center"/>
        <w:textAlignment w:val="auto"/>
        <w:rPr>
          <w:rFonts w:ascii="宋体" w:hAnsi="宋体" w:cs="宋体"/>
          <w:color w:val="auto"/>
          <w:kern w:val="0"/>
          <w:szCs w:val="21"/>
          <w:highlight w:val="none"/>
        </w:rPr>
      </w:pPr>
      <w:r>
        <w:rPr>
          <w:rFonts w:hint="eastAsia" w:ascii="宋体" w:hAnsi="宋体" w:cs="宋体"/>
          <w:b/>
          <w:bCs/>
          <w:color w:val="auto"/>
          <w:sz w:val="32"/>
          <w:szCs w:val="32"/>
          <w:highlight w:val="none"/>
        </w:rPr>
        <w:t xml:space="preserve">第一章  </w:t>
      </w:r>
      <w:r>
        <w:rPr>
          <w:rFonts w:hint="eastAsia" w:ascii="宋体" w:hAnsi="宋体" w:cs="宋体"/>
          <w:b/>
          <w:bCs/>
          <w:color w:val="auto"/>
          <w:sz w:val="32"/>
          <w:szCs w:val="32"/>
          <w:highlight w:val="none"/>
          <w:lang w:val="en-US" w:eastAsia="zh-CN"/>
        </w:rPr>
        <w:t>竞谈</w:t>
      </w:r>
      <w:r>
        <w:rPr>
          <w:rFonts w:hint="eastAsia" w:ascii="宋体" w:hAnsi="宋体" w:cs="宋体"/>
          <w:b/>
          <w:bCs/>
          <w:color w:val="auto"/>
          <w:sz w:val="32"/>
          <w:szCs w:val="32"/>
          <w:highlight w:val="none"/>
          <w:lang w:eastAsia="zh-CN"/>
        </w:rPr>
        <w:t>采购邀请书</w:t>
      </w:r>
    </w:p>
    <w:p w14:paraId="77AA66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1、项目概况</w:t>
      </w:r>
    </w:p>
    <w:p w14:paraId="080CA2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项目名称： 株洲北斗应用与信息技术产业示范基地配套基础设施项目（一期）钢筋材料采购。</w:t>
      </w:r>
    </w:p>
    <w:p w14:paraId="6E8767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 项目内容： 为本项目提供所需的全部钢筋材料，具体详见第四章“采购需求”。</w:t>
      </w:r>
    </w:p>
    <w:p w14:paraId="2077E0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1.3采购预算：“我的钢铁网”基准价。</w:t>
      </w:r>
    </w:p>
    <w:p w14:paraId="6DD136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2、供应商资格要求</w:t>
      </w:r>
    </w:p>
    <w:p w14:paraId="7338F2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 具有独立承担民事责任的能力，并依法取得有效的营业执照；</w:t>
      </w:r>
    </w:p>
    <w:p w14:paraId="03688D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具有履行合同所必需的设备和专业技术能力，具备稳定的货源供应能力及物流配送能力；</w:t>
      </w:r>
    </w:p>
    <w:p w14:paraId="5F0CBB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 对列入失信被执行人、重大税收违法案件当事人名单的供应商，将被拒绝其参与本采购活动；</w:t>
      </w:r>
    </w:p>
    <w:p w14:paraId="3A3715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品牌准入限制（关键条款）： 本次采购仅限以下三个品牌的钢筋产品，供应商所投产品必须属于以下品牌之一，否则视为无效响应：</w:t>
      </w:r>
    </w:p>
    <w:p w14:paraId="1DACE6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湘潭钢铁集团有限公司（湘钢）</w:t>
      </w:r>
    </w:p>
    <w:p w14:paraId="1B01E3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萍乡萍钢安源钢铁有限公司（萍钢）</w:t>
      </w:r>
    </w:p>
    <w:p w14:paraId="43FA9A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湖南华菱涟源钢铁有限公司（涟钢）</w:t>
      </w:r>
    </w:p>
    <w:p w14:paraId="06638B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(注：若供应商为代理商，需提供针对本项目的厂家授权书或长期代理证明)</w:t>
      </w:r>
    </w:p>
    <w:p w14:paraId="1287A6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3、获取采购文件的方式及地点</w:t>
      </w:r>
    </w:p>
    <w:p w14:paraId="6BF429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3.1获取采购文件时间：获取采购文件的时间：从2026年 </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 xml:space="preserve"> 月</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 xml:space="preserve"> 日起至2026年 </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 xml:space="preserve"> 月</w:t>
      </w:r>
      <w:r>
        <w:rPr>
          <w:rFonts w:hint="eastAsia" w:ascii="宋体" w:hAnsi="宋体" w:cs="宋体"/>
          <w:color w:val="auto"/>
          <w:kern w:val="2"/>
          <w:sz w:val="21"/>
          <w:szCs w:val="21"/>
          <w:highlight w:val="none"/>
          <w:lang w:val="en-US" w:eastAsia="zh-CN" w:bidi="ar"/>
        </w:rPr>
        <w:t>13</w:t>
      </w:r>
      <w:r>
        <w:rPr>
          <w:rFonts w:hint="eastAsia" w:ascii="宋体" w:hAnsi="宋体" w:eastAsia="宋体" w:cs="宋体"/>
          <w:color w:val="auto"/>
          <w:kern w:val="2"/>
          <w:sz w:val="21"/>
          <w:szCs w:val="21"/>
          <w:highlight w:val="none"/>
          <w:lang w:val="en-US" w:eastAsia="zh-CN" w:bidi="ar"/>
        </w:rPr>
        <w:t>日止，每天上午8:30至12:00，下午14:30至17：30（北京时间，周六、周日正常上班）</w:t>
      </w:r>
    </w:p>
    <w:p w14:paraId="462928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获取方式：指定获取。</w:t>
      </w:r>
    </w:p>
    <w:p w14:paraId="603D2B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获取地点/网址：株洲市云龙发展集团城市建设有限公司数字化招采平台http://www.yfjszc.com。</w:t>
      </w:r>
    </w:p>
    <w:p w14:paraId="203583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4、响应文件递交</w:t>
      </w:r>
    </w:p>
    <w:p w14:paraId="08016C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4.1 截止时间： 2026 年 </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 xml:space="preserve"> 月 </w:t>
      </w:r>
      <w:r>
        <w:rPr>
          <w:rFonts w:hint="eastAsia" w:ascii="宋体" w:hAnsi="宋体" w:cs="宋体"/>
          <w:color w:val="auto"/>
          <w:kern w:val="2"/>
          <w:sz w:val="21"/>
          <w:szCs w:val="21"/>
          <w:highlight w:val="none"/>
          <w:lang w:val="en-US" w:eastAsia="zh-CN" w:bidi="ar"/>
        </w:rPr>
        <w:t>14</w:t>
      </w:r>
      <w:r>
        <w:rPr>
          <w:rFonts w:hint="eastAsia" w:ascii="宋体" w:hAnsi="宋体" w:eastAsia="宋体" w:cs="宋体"/>
          <w:color w:val="auto"/>
          <w:kern w:val="2"/>
          <w:sz w:val="21"/>
          <w:szCs w:val="21"/>
          <w:highlight w:val="none"/>
          <w:lang w:val="en-US" w:eastAsia="zh-CN" w:bidi="ar"/>
        </w:rPr>
        <w:t xml:space="preserve"> 日 </w:t>
      </w:r>
      <w:r>
        <w:rPr>
          <w:rFonts w:hint="eastAsia" w:ascii="宋体" w:hAnsi="宋体" w:cs="宋体"/>
          <w:color w:val="auto"/>
          <w:kern w:val="2"/>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 xml:space="preserve"> 时 </w:t>
      </w:r>
      <w:r>
        <w:rPr>
          <w:rFonts w:hint="eastAsia" w:ascii="宋体" w:hAnsi="宋体" w:cs="宋体"/>
          <w:color w:val="auto"/>
          <w:kern w:val="2"/>
          <w:sz w:val="21"/>
          <w:szCs w:val="21"/>
          <w:highlight w:val="none"/>
          <w:lang w:val="en-US" w:eastAsia="zh-CN" w:bidi="ar"/>
        </w:rPr>
        <w:t>00</w:t>
      </w:r>
      <w:r>
        <w:rPr>
          <w:rFonts w:hint="eastAsia" w:ascii="宋体" w:hAnsi="宋体" w:eastAsia="宋体" w:cs="宋体"/>
          <w:color w:val="auto"/>
          <w:kern w:val="2"/>
          <w:sz w:val="21"/>
          <w:szCs w:val="21"/>
          <w:highlight w:val="none"/>
          <w:lang w:val="en-US" w:eastAsia="zh-CN" w:bidi="ar"/>
        </w:rPr>
        <w:t xml:space="preserve"> 分。</w:t>
      </w:r>
    </w:p>
    <w:p w14:paraId="041150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 递交方式：时间：2026 年</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月</w:t>
      </w:r>
      <w:r>
        <w:rPr>
          <w:rFonts w:hint="eastAsia" w:ascii="宋体" w:hAnsi="宋体" w:cs="宋体"/>
          <w:color w:val="auto"/>
          <w:kern w:val="2"/>
          <w:sz w:val="21"/>
          <w:szCs w:val="21"/>
          <w:highlight w:val="none"/>
          <w:lang w:val="en-US" w:eastAsia="zh-CN" w:bidi="ar"/>
        </w:rPr>
        <w:t>14</w:t>
      </w:r>
      <w:r>
        <w:rPr>
          <w:rFonts w:hint="eastAsia" w:ascii="宋体" w:hAnsi="宋体" w:eastAsia="宋体" w:cs="宋体"/>
          <w:color w:val="auto"/>
          <w:kern w:val="2"/>
          <w:sz w:val="21"/>
          <w:szCs w:val="21"/>
          <w:highlight w:val="none"/>
          <w:lang w:val="en-US" w:eastAsia="zh-CN" w:bidi="ar"/>
        </w:rPr>
        <w:t xml:space="preserve"> 日 </w:t>
      </w:r>
      <w:r>
        <w:rPr>
          <w:rFonts w:hint="eastAsia" w:ascii="宋体" w:hAnsi="宋体" w:cs="宋体"/>
          <w:color w:val="auto"/>
          <w:kern w:val="2"/>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 xml:space="preserve"> 时 </w:t>
      </w:r>
      <w:r>
        <w:rPr>
          <w:rFonts w:hint="eastAsia" w:ascii="宋体" w:hAnsi="宋体" w:cs="宋体"/>
          <w:color w:val="auto"/>
          <w:kern w:val="2"/>
          <w:sz w:val="21"/>
          <w:szCs w:val="21"/>
          <w:highlight w:val="none"/>
          <w:lang w:val="en-US" w:eastAsia="zh-CN" w:bidi="ar"/>
        </w:rPr>
        <w:t>00</w:t>
      </w:r>
      <w:r>
        <w:rPr>
          <w:rFonts w:hint="eastAsia" w:ascii="宋体" w:hAnsi="宋体" w:eastAsia="宋体" w:cs="宋体"/>
          <w:color w:val="auto"/>
          <w:kern w:val="2"/>
          <w:sz w:val="21"/>
          <w:szCs w:val="21"/>
          <w:highlight w:val="none"/>
          <w:lang w:val="en-US" w:eastAsia="zh-CN" w:bidi="ar"/>
        </w:rPr>
        <w:t xml:space="preserve"> 分，地点：株洲市石峰区云龙大道88号管委会727室）。</w:t>
      </w:r>
    </w:p>
    <w:p w14:paraId="32D813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5、联系方式</w:t>
      </w:r>
    </w:p>
    <w:p w14:paraId="29DBAF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采 购 人：株洲市云龙发展集团城市建设有限公司</w:t>
      </w:r>
    </w:p>
    <w:p w14:paraId="33BD5C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 址： </w:t>
      </w:r>
      <w:r>
        <w:rPr>
          <w:rFonts w:hint="eastAsia" w:ascii="宋体" w:hAnsi="宋体" w:eastAsia="宋体" w:cs="宋体"/>
          <w:color w:val="auto"/>
          <w:sz w:val="21"/>
          <w:szCs w:val="21"/>
          <w:highlight w:val="none"/>
        </w:rPr>
        <w:t>株洲云龙示范区云龙大道88号</w:t>
      </w:r>
    </w:p>
    <w:p w14:paraId="67A5B9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联 系 人：</w:t>
      </w:r>
      <w:r>
        <w:rPr>
          <w:rFonts w:hint="eastAsia" w:ascii="宋体" w:hAnsi="宋体" w:eastAsia="宋体" w:cs="宋体"/>
          <w:color w:val="auto"/>
          <w:sz w:val="21"/>
          <w:szCs w:val="21"/>
          <w:highlight w:val="none"/>
          <w:lang w:val="en-US" w:eastAsia="zh-CN"/>
        </w:rPr>
        <w:t>丑文沛</w:t>
      </w:r>
    </w:p>
    <w:p w14:paraId="14A9E3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电 话：</w:t>
      </w:r>
      <w:r>
        <w:rPr>
          <w:rFonts w:hint="eastAsia" w:ascii="宋体" w:hAnsi="宋体" w:eastAsia="宋体" w:cs="宋体"/>
          <w:color w:val="auto"/>
          <w:sz w:val="21"/>
          <w:szCs w:val="21"/>
          <w:highlight w:val="none"/>
          <w:lang w:val="en-US" w:eastAsia="zh-CN"/>
        </w:rPr>
        <w:t>0731-2868997</w:t>
      </w:r>
      <w:r>
        <w:rPr>
          <w:rFonts w:hint="eastAsia" w:ascii="宋体" w:hAnsi="宋体" w:cs="宋体"/>
          <w:color w:val="auto"/>
          <w:sz w:val="21"/>
          <w:szCs w:val="21"/>
          <w:highlight w:val="none"/>
          <w:lang w:val="en-US" w:eastAsia="zh-CN"/>
        </w:rPr>
        <w:t>4</w:t>
      </w:r>
    </w:p>
    <w:p w14:paraId="15EACD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color w:val="auto"/>
          <w:sz w:val="28"/>
          <w:szCs w:val="28"/>
          <w:highlight w:val="none"/>
          <w:lang w:val="en-US" w:eastAsia="zh-CN"/>
        </w:rPr>
      </w:pPr>
    </w:p>
    <w:p w14:paraId="2441DA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34D13C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BE895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1C7C43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5A9DD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61850E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394EF8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1BE648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3F454E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5E0942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6E537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680C13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502861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9F932BB">
      <w:pPr>
        <w:pStyle w:val="2"/>
        <w:rPr>
          <w:rFonts w:hint="eastAsia" w:ascii="宋体" w:hAnsi="宋体"/>
          <w:color w:val="auto"/>
          <w:szCs w:val="22"/>
          <w:highlight w:val="none"/>
          <w:lang w:val="en-US" w:eastAsia="zh-CN"/>
        </w:rPr>
      </w:pPr>
    </w:p>
    <w:p w14:paraId="562B70E3">
      <w:pPr>
        <w:rPr>
          <w:rFonts w:hint="eastAsia" w:ascii="宋体" w:hAnsi="宋体"/>
          <w:color w:val="auto"/>
          <w:szCs w:val="22"/>
          <w:highlight w:val="none"/>
          <w:lang w:val="en-US" w:eastAsia="zh-CN"/>
        </w:rPr>
      </w:pPr>
    </w:p>
    <w:p w14:paraId="15C5C103">
      <w:pPr>
        <w:pStyle w:val="2"/>
        <w:rPr>
          <w:rFonts w:hint="eastAsia" w:ascii="宋体" w:hAnsi="宋体"/>
          <w:color w:val="auto"/>
          <w:szCs w:val="22"/>
          <w:highlight w:val="none"/>
          <w:lang w:val="en-US" w:eastAsia="zh-CN"/>
        </w:rPr>
      </w:pPr>
    </w:p>
    <w:p w14:paraId="3D6AD0AB">
      <w:pPr>
        <w:rPr>
          <w:rFonts w:hint="eastAsia" w:ascii="宋体" w:hAnsi="宋体"/>
          <w:color w:val="auto"/>
          <w:szCs w:val="22"/>
          <w:highlight w:val="none"/>
          <w:lang w:val="en-US" w:eastAsia="zh-CN"/>
        </w:rPr>
      </w:pPr>
    </w:p>
    <w:p w14:paraId="0F6C686D">
      <w:pPr>
        <w:pStyle w:val="2"/>
        <w:rPr>
          <w:rFonts w:hint="eastAsia" w:ascii="宋体" w:hAnsi="宋体"/>
          <w:color w:val="auto"/>
          <w:szCs w:val="22"/>
          <w:highlight w:val="none"/>
          <w:lang w:val="en-US" w:eastAsia="zh-CN"/>
        </w:rPr>
      </w:pPr>
    </w:p>
    <w:p w14:paraId="429C0431">
      <w:pPr>
        <w:rPr>
          <w:rFonts w:hint="eastAsia" w:ascii="宋体" w:hAnsi="宋体"/>
          <w:color w:val="auto"/>
          <w:szCs w:val="22"/>
          <w:highlight w:val="none"/>
          <w:lang w:val="en-US" w:eastAsia="zh-CN"/>
        </w:rPr>
      </w:pPr>
    </w:p>
    <w:p w14:paraId="4BD4D7D6">
      <w:pPr>
        <w:pStyle w:val="2"/>
        <w:rPr>
          <w:rFonts w:hint="eastAsia" w:ascii="宋体" w:hAnsi="宋体"/>
          <w:color w:val="auto"/>
          <w:szCs w:val="22"/>
          <w:highlight w:val="none"/>
          <w:lang w:val="en-US" w:eastAsia="zh-CN"/>
        </w:rPr>
      </w:pPr>
    </w:p>
    <w:p w14:paraId="33A03655">
      <w:pPr>
        <w:rPr>
          <w:rFonts w:hint="eastAsia" w:ascii="宋体" w:hAnsi="宋体"/>
          <w:color w:val="auto"/>
          <w:szCs w:val="22"/>
          <w:highlight w:val="none"/>
          <w:lang w:val="en-US" w:eastAsia="zh-CN"/>
        </w:rPr>
      </w:pPr>
    </w:p>
    <w:p w14:paraId="0AE792DE">
      <w:pPr>
        <w:pStyle w:val="2"/>
        <w:rPr>
          <w:rFonts w:hint="eastAsia" w:ascii="宋体" w:hAnsi="宋体"/>
          <w:color w:val="auto"/>
          <w:szCs w:val="22"/>
          <w:highlight w:val="none"/>
          <w:lang w:val="en-US" w:eastAsia="zh-CN"/>
        </w:rPr>
      </w:pPr>
    </w:p>
    <w:p w14:paraId="684279D1">
      <w:pPr>
        <w:rPr>
          <w:rFonts w:hint="eastAsia" w:ascii="宋体" w:hAnsi="宋体"/>
          <w:color w:val="auto"/>
          <w:szCs w:val="22"/>
          <w:highlight w:val="none"/>
          <w:lang w:val="en-US" w:eastAsia="zh-CN"/>
        </w:rPr>
      </w:pPr>
    </w:p>
    <w:p w14:paraId="2105FACB">
      <w:pPr>
        <w:pStyle w:val="2"/>
        <w:rPr>
          <w:rFonts w:hint="eastAsia"/>
          <w:color w:val="auto"/>
          <w:highlight w:val="none"/>
          <w:lang w:val="en-US" w:eastAsia="zh-CN"/>
        </w:rPr>
      </w:pPr>
    </w:p>
    <w:p w14:paraId="585CC5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7B35FB31">
      <w:pPr>
        <w:numPr>
          <w:ilvl w:val="0"/>
          <w:numId w:val="2"/>
        </w:num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竞谈</w:t>
      </w:r>
      <w:r>
        <w:rPr>
          <w:rFonts w:hint="eastAsia" w:ascii="宋体" w:hAnsi="宋体" w:cs="宋体"/>
          <w:b/>
          <w:bCs/>
          <w:color w:val="auto"/>
          <w:sz w:val="32"/>
          <w:szCs w:val="32"/>
          <w:highlight w:val="none"/>
          <w:lang w:eastAsia="zh-CN"/>
        </w:rPr>
        <w:t>采购</w:t>
      </w:r>
      <w:r>
        <w:rPr>
          <w:rFonts w:hint="eastAsia" w:ascii="宋体" w:hAnsi="宋体" w:cs="宋体"/>
          <w:b/>
          <w:bCs/>
          <w:color w:val="auto"/>
          <w:sz w:val="32"/>
          <w:szCs w:val="32"/>
          <w:highlight w:val="none"/>
        </w:rPr>
        <w:t>须知</w:t>
      </w:r>
    </w:p>
    <w:p w14:paraId="58939915">
      <w:pPr>
        <w:pStyle w:val="2"/>
        <w:ind w:left="0" w:leftChars="0" w:firstLine="0" w:firstLine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竞谈</w:t>
      </w:r>
      <w:r>
        <w:rPr>
          <w:rFonts w:hint="eastAsia" w:ascii="宋体" w:hAnsi="宋体" w:cs="宋体"/>
          <w:b/>
          <w:bCs/>
          <w:color w:val="auto"/>
          <w:sz w:val="32"/>
          <w:szCs w:val="32"/>
          <w:highlight w:val="none"/>
          <w:lang w:eastAsia="zh-CN"/>
        </w:rPr>
        <w:t>采购</w:t>
      </w:r>
      <w:r>
        <w:rPr>
          <w:rFonts w:hint="eastAsia" w:ascii="宋体" w:hAnsi="宋体" w:cs="宋体"/>
          <w:b/>
          <w:bCs/>
          <w:color w:val="auto"/>
          <w:sz w:val="32"/>
          <w:szCs w:val="32"/>
          <w:highlight w:val="none"/>
        </w:rPr>
        <w:t>须知前附表</w:t>
      </w:r>
    </w:p>
    <w:tbl>
      <w:tblPr>
        <w:tblStyle w:val="19"/>
        <w:tblW w:w="91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80"/>
        <w:gridCol w:w="5898"/>
      </w:tblGrid>
      <w:tr w14:paraId="416D4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2B610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条款号</w:t>
            </w:r>
          </w:p>
        </w:tc>
        <w:tc>
          <w:tcPr>
            <w:tcW w:w="1980" w:type="dxa"/>
            <w:tcBorders>
              <w:tl2br w:val="nil"/>
              <w:tr2bl w:val="nil"/>
            </w:tcBorders>
            <w:vAlign w:val="center"/>
          </w:tcPr>
          <w:p w14:paraId="7AB604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条款名称</w:t>
            </w:r>
          </w:p>
        </w:tc>
        <w:tc>
          <w:tcPr>
            <w:tcW w:w="5898" w:type="dxa"/>
            <w:tcBorders>
              <w:tl2br w:val="nil"/>
              <w:tr2bl w:val="nil"/>
            </w:tcBorders>
            <w:vAlign w:val="center"/>
          </w:tcPr>
          <w:p w14:paraId="368DA3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编列内容规定</w:t>
            </w:r>
          </w:p>
        </w:tc>
      </w:tr>
      <w:tr w14:paraId="65E57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411698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b/>
                <w:color w:val="auto"/>
                <w:szCs w:val="21"/>
                <w:highlight w:val="none"/>
              </w:rPr>
              <w:t>一、说明</w:t>
            </w:r>
          </w:p>
        </w:tc>
      </w:tr>
      <w:tr w14:paraId="377DC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12996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1980" w:type="dxa"/>
            <w:tcBorders>
              <w:tl2br w:val="nil"/>
              <w:tr2bl w:val="nil"/>
            </w:tcBorders>
            <w:vAlign w:val="center"/>
          </w:tcPr>
          <w:p w14:paraId="31E8FF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采购项目</w:t>
            </w:r>
          </w:p>
        </w:tc>
        <w:tc>
          <w:tcPr>
            <w:tcW w:w="5898" w:type="dxa"/>
            <w:tcBorders>
              <w:tl2br w:val="nil"/>
              <w:tr2bl w:val="nil"/>
            </w:tcBorders>
            <w:vAlign w:val="center"/>
          </w:tcPr>
          <w:p w14:paraId="5F17060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株洲北斗应用与信息技术产业示范基地配套基础设施项目（一期）钢筋材料采购</w:t>
            </w:r>
          </w:p>
        </w:tc>
      </w:tr>
      <w:tr w14:paraId="1B611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41C7C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1980" w:type="dxa"/>
            <w:tcBorders>
              <w:tl2br w:val="nil"/>
              <w:tr2bl w:val="nil"/>
            </w:tcBorders>
            <w:vAlign w:val="center"/>
          </w:tcPr>
          <w:p w14:paraId="7B2A94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采购人</w:t>
            </w:r>
          </w:p>
        </w:tc>
        <w:tc>
          <w:tcPr>
            <w:tcW w:w="5898" w:type="dxa"/>
            <w:tcBorders>
              <w:tl2br w:val="nil"/>
              <w:tr2bl w:val="nil"/>
            </w:tcBorders>
            <w:vAlign w:val="center"/>
          </w:tcPr>
          <w:p w14:paraId="366FFA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采 购 人：株洲市云龙发展集团城市建设有限公司</w:t>
            </w:r>
          </w:p>
          <w:p w14:paraId="49148D1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地    址：株洲云龙示范区云龙大道88号</w:t>
            </w:r>
          </w:p>
          <w:p w14:paraId="47E4049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联 系 人：</w:t>
            </w:r>
            <w:r>
              <w:rPr>
                <w:rFonts w:hint="eastAsia" w:ascii="宋体" w:hAnsi="宋体"/>
                <w:color w:val="auto"/>
                <w:szCs w:val="22"/>
                <w:highlight w:val="none"/>
                <w:lang w:eastAsia="zh-CN"/>
              </w:rPr>
              <w:t>丑文沛</w:t>
            </w:r>
            <w:r>
              <w:rPr>
                <w:rFonts w:hint="eastAsia"/>
                <w:color w:val="auto"/>
                <w:highlight w:val="none"/>
              </w:rPr>
              <w:t xml:space="preserve"> </w:t>
            </w:r>
          </w:p>
          <w:p w14:paraId="4EB62D7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Cs w:val="21"/>
                <w:highlight w:val="none"/>
                <w:lang w:eastAsia="zh-CN"/>
              </w:rPr>
            </w:pPr>
            <w:r>
              <w:rPr>
                <w:rFonts w:hint="eastAsia"/>
                <w:color w:val="auto"/>
                <w:highlight w:val="none"/>
              </w:rPr>
              <w:t>电    话：</w:t>
            </w:r>
            <w:r>
              <w:rPr>
                <w:rFonts w:hint="eastAsia" w:ascii="宋体" w:hAnsi="宋体"/>
                <w:color w:val="auto"/>
                <w:szCs w:val="22"/>
                <w:highlight w:val="none"/>
                <w:lang w:eastAsia="zh-CN"/>
              </w:rPr>
              <w:t>0731-28689974</w:t>
            </w:r>
            <w:r>
              <w:rPr>
                <w:rFonts w:hint="eastAsia" w:ascii="宋体" w:hAnsi="宋体"/>
                <w:color w:val="auto"/>
                <w:szCs w:val="22"/>
                <w:highlight w:val="none"/>
              </w:rPr>
              <w:t xml:space="preserve"> </w:t>
            </w:r>
            <w:r>
              <w:rPr>
                <w:rFonts w:hint="eastAsia"/>
                <w:color w:val="auto"/>
                <w:highlight w:val="none"/>
              </w:rPr>
              <w:t xml:space="preserve"> </w:t>
            </w:r>
          </w:p>
        </w:tc>
      </w:tr>
      <w:tr w14:paraId="7EDAF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42" w:type="dxa"/>
            <w:tcBorders>
              <w:tl2br w:val="nil"/>
              <w:tr2bl w:val="nil"/>
            </w:tcBorders>
            <w:vAlign w:val="center"/>
          </w:tcPr>
          <w:p w14:paraId="19E729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1980" w:type="dxa"/>
            <w:tcBorders>
              <w:tl2br w:val="nil"/>
              <w:tr2bl w:val="nil"/>
            </w:tcBorders>
            <w:vAlign w:val="center"/>
          </w:tcPr>
          <w:p w14:paraId="2FA7EC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lang w:eastAsia="zh-CN"/>
              </w:rPr>
            </w:pPr>
            <w:r>
              <w:rPr>
                <w:rFonts w:hint="eastAsia"/>
                <w:color w:val="auto"/>
                <w:highlight w:val="none"/>
              </w:rPr>
              <w:t>供应商</w:t>
            </w:r>
            <w:r>
              <w:rPr>
                <w:rFonts w:hint="eastAsia"/>
                <w:color w:val="auto"/>
                <w:highlight w:val="none"/>
                <w:lang w:eastAsia="zh-CN"/>
              </w:rPr>
              <w:t>的</w:t>
            </w:r>
            <w:r>
              <w:rPr>
                <w:rFonts w:hint="eastAsia"/>
                <w:color w:val="auto"/>
                <w:highlight w:val="none"/>
              </w:rPr>
              <w:t>邀请方式</w:t>
            </w:r>
          </w:p>
        </w:tc>
        <w:tc>
          <w:tcPr>
            <w:tcW w:w="5898" w:type="dxa"/>
            <w:tcBorders>
              <w:tl2br w:val="nil"/>
              <w:tr2bl w:val="nil"/>
            </w:tcBorders>
            <w:vAlign w:val="center"/>
          </w:tcPr>
          <w:p w14:paraId="505E02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lang w:eastAsia="zh-CN"/>
              </w:rPr>
            </w:pPr>
            <w:r>
              <w:rPr>
                <w:rFonts w:hint="eastAsia"/>
                <w:color w:val="auto"/>
                <w:highlight w:val="none"/>
              </w:rPr>
              <w:t>邀请</w:t>
            </w:r>
          </w:p>
        </w:tc>
      </w:tr>
      <w:tr w14:paraId="0DD05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617263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1980" w:type="dxa"/>
            <w:tcBorders>
              <w:tl2br w:val="nil"/>
              <w:tr2bl w:val="nil"/>
            </w:tcBorders>
            <w:vAlign w:val="center"/>
          </w:tcPr>
          <w:p w14:paraId="64E41E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供应商资格条件</w:t>
            </w:r>
          </w:p>
        </w:tc>
        <w:tc>
          <w:tcPr>
            <w:tcW w:w="5898" w:type="dxa"/>
            <w:tcBorders>
              <w:tl2br w:val="nil"/>
              <w:tr2bl w:val="nil"/>
            </w:tcBorders>
            <w:vAlign w:val="center"/>
          </w:tcPr>
          <w:p w14:paraId="5D65976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lang w:eastAsia="zh-CN"/>
              </w:rPr>
            </w:pPr>
            <w:r>
              <w:rPr>
                <w:rFonts w:hint="eastAsia"/>
                <w:color w:val="auto"/>
                <w:highlight w:val="none"/>
              </w:rPr>
              <w:t>（1）具有</w:t>
            </w:r>
            <w:r>
              <w:rPr>
                <w:rFonts w:hint="eastAsia"/>
                <w:color w:val="auto"/>
                <w:highlight w:val="none"/>
                <w:lang w:eastAsia="zh-CN"/>
              </w:rPr>
              <w:t>独立承担民事责任的能力</w:t>
            </w:r>
            <w:r>
              <w:rPr>
                <w:rFonts w:hint="eastAsia"/>
                <w:color w:val="auto"/>
                <w:highlight w:val="none"/>
              </w:rPr>
              <w:t>，</w:t>
            </w:r>
            <w:r>
              <w:rPr>
                <w:rFonts w:hint="eastAsia" w:ascii="Times New Roman" w:hAnsi="Times New Roman" w:eastAsia="宋体" w:cs="Times New Roman"/>
                <w:color w:val="auto"/>
                <w:highlight w:val="none"/>
                <w:lang w:eastAsia="zh-CN"/>
              </w:rPr>
              <w:t>并依法取得有效的营业执照；（2）</w:t>
            </w:r>
            <w:r>
              <w:rPr>
                <w:rFonts w:hint="eastAsia" w:ascii="Times New Roman" w:hAnsi="Times New Roman" w:eastAsia="宋体" w:cs="Times New Roman"/>
                <w:color w:val="auto"/>
                <w:highlight w:val="none"/>
                <w:lang w:val="en-US" w:eastAsia="zh-CN"/>
              </w:rPr>
              <w:t>具有履行合同所必需的设备和专业技术能力，具备稳定的货源供应能力及物流配送能力；（3）对列入失信被执行人、重大税收违法案件当事人名单的供应商，将被拒绝其参与本采购活动；（4）必须提供湘钢、萍钢、涟钢三大品牌之一的产品证明。</w:t>
            </w:r>
          </w:p>
        </w:tc>
      </w:tr>
      <w:tr w14:paraId="2E827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02A54B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color w:val="auto"/>
                <w:szCs w:val="21"/>
                <w:highlight w:val="none"/>
              </w:rPr>
            </w:pPr>
            <w:r>
              <w:rPr>
                <w:rFonts w:hint="eastAsia" w:ascii="宋体" w:hAnsi="宋体"/>
                <w:b/>
                <w:color w:val="auto"/>
                <w:szCs w:val="21"/>
                <w:highlight w:val="none"/>
              </w:rPr>
              <w:t>二、采购文件</w:t>
            </w:r>
          </w:p>
        </w:tc>
      </w:tr>
      <w:tr w14:paraId="78BED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42C237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1980" w:type="dxa"/>
            <w:tcBorders>
              <w:tl2br w:val="nil"/>
              <w:tr2bl w:val="nil"/>
            </w:tcBorders>
            <w:vAlign w:val="center"/>
          </w:tcPr>
          <w:p w14:paraId="3E7700F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cs="宋体"/>
                <w:color w:val="auto"/>
                <w:szCs w:val="21"/>
                <w:highlight w:val="none"/>
              </w:rPr>
            </w:pPr>
            <w:r>
              <w:rPr>
                <w:rFonts w:hint="eastAsia" w:ascii="宋体" w:hAnsi="宋体" w:cs="宋体"/>
                <w:color w:val="auto"/>
                <w:szCs w:val="21"/>
                <w:highlight w:val="none"/>
              </w:rPr>
              <w:t>提交响应文件的截止时间</w:t>
            </w:r>
          </w:p>
        </w:tc>
        <w:tc>
          <w:tcPr>
            <w:tcW w:w="5898" w:type="dxa"/>
            <w:tcBorders>
              <w:tl2br w:val="nil"/>
              <w:tr2bl w:val="nil"/>
            </w:tcBorders>
            <w:vAlign w:val="center"/>
          </w:tcPr>
          <w:p w14:paraId="7AE3EAA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4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14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 (北京时间)</w:t>
            </w:r>
          </w:p>
        </w:tc>
      </w:tr>
      <w:tr w14:paraId="65D7E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120" w:type="dxa"/>
            <w:gridSpan w:val="3"/>
            <w:tcBorders>
              <w:tl2br w:val="nil"/>
              <w:tr2bl w:val="nil"/>
            </w:tcBorders>
            <w:vAlign w:val="center"/>
          </w:tcPr>
          <w:p w14:paraId="01564CD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b/>
                <w:color w:val="auto"/>
                <w:szCs w:val="21"/>
                <w:highlight w:val="none"/>
              </w:rPr>
              <w:t>三、响应文件的编写</w:t>
            </w:r>
          </w:p>
        </w:tc>
      </w:tr>
      <w:tr w14:paraId="525B2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5EB549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980" w:type="dxa"/>
            <w:tcBorders>
              <w:tl2br w:val="nil"/>
              <w:tr2bl w:val="nil"/>
            </w:tcBorders>
            <w:vAlign w:val="center"/>
          </w:tcPr>
          <w:p w14:paraId="5FF66A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Segoe UI" w:hAnsi="Segoe UI" w:eastAsia="Segoe UI" w:cs="Segoe UI"/>
                <w:i w:val="0"/>
                <w:iCs w:val="0"/>
                <w:caps w:val="0"/>
                <w:color w:val="auto"/>
                <w:spacing w:val="0"/>
                <w:sz w:val="21"/>
                <w:szCs w:val="21"/>
                <w:highlight w:val="none"/>
                <w:shd w:val="clear" w:fill="FFFFFF"/>
                <w:lang w:val="en-US" w:eastAsia="zh-CN"/>
              </w:rPr>
              <w:t>报价方式</w:t>
            </w:r>
          </w:p>
        </w:tc>
        <w:tc>
          <w:tcPr>
            <w:tcW w:w="5898" w:type="dxa"/>
            <w:tcBorders>
              <w:tl2br w:val="nil"/>
              <w:tr2bl w:val="nil"/>
            </w:tcBorders>
            <w:vAlign w:val="center"/>
          </w:tcPr>
          <w:p w14:paraId="067797F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采用“我的钢铁网”基准价浮</w:t>
            </w:r>
            <w:r>
              <w:rPr>
                <w:rFonts w:hint="eastAsia" w:cs="Times New Roman"/>
                <w:color w:val="auto"/>
                <w:highlight w:val="none"/>
                <w:lang w:eastAsia="zh-CN"/>
              </w:rPr>
              <w:t>动</w:t>
            </w:r>
            <w:r>
              <w:rPr>
                <w:rFonts w:hint="eastAsia" w:ascii="Times New Roman" w:hAnsi="Times New Roman" w:eastAsia="宋体" w:cs="Times New Roman"/>
                <w:color w:val="auto"/>
                <w:highlight w:val="none"/>
              </w:rPr>
              <w:t>报价。</w:t>
            </w:r>
            <w:r>
              <w:rPr>
                <w:rFonts w:hint="default" w:ascii="Times New Roman" w:hAnsi="Times New Roman" w:eastAsia="宋体" w:cs="Times New Roman"/>
                <w:color w:val="auto"/>
                <w:highlight w:val="none"/>
              </w:rPr>
              <w:br w:type="textWrapping"/>
            </w:r>
            <w:r>
              <w:rPr>
                <w:rFonts w:hint="default" w:ascii="Times New Roman" w:hAnsi="Times New Roman" w:eastAsia="宋体" w:cs="Times New Roman"/>
                <w:color w:val="auto"/>
                <w:highlight w:val="none"/>
              </w:rPr>
              <w:t>1. 基准价来源：交货当日（或结算周期内）“我的钢铁网”长沙市场对应品牌、规格的螺纹钢/线材指导价格。</w:t>
            </w:r>
            <w:r>
              <w:rPr>
                <w:rFonts w:hint="default" w:ascii="Times New Roman" w:hAnsi="Times New Roman" w:eastAsia="宋体" w:cs="Times New Roman"/>
                <w:color w:val="auto"/>
                <w:highlight w:val="none"/>
              </w:rPr>
              <w:br w:type="textWrapping"/>
            </w:r>
            <w:r>
              <w:rPr>
                <w:rFonts w:hint="default" w:ascii="Times New Roman" w:hAnsi="Times New Roman" w:eastAsia="宋体" w:cs="Times New Roman"/>
                <w:color w:val="auto"/>
                <w:highlight w:val="none"/>
              </w:rPr>
              <w:t>2. 报价内容：供应商仅需报出浮</w:t>
            </w:r>
            <w:r>
              <w:rPr>
                <w:rFonts w:hint="eastAsia" w:cs="Times New Roman"/>
                <w:color w:val="auto"/>
                <w:highlight w:val="none"/>
                <w:lang w:eastAsia="zh-CN"/>
              </w:rPr>
              <w:t>动</w:t>
            </w:r>
            <w:r>
              <w:rPr>
                <w:rFonts w:hint="eastAsia" w:cs="Times New Roman"/>
                <w:color w:val="auto"/>
                <w:highlight w:val="none"/>
                <w:lang w:val="en-US" w:eastAsia="zh-CN"/>
              </w:rPr>
              <w:t>金额</w:t>
            </w:r>
            <w:r>
              <w:rPr>
                <w:rFonts w:hint="default" w:ascii="Times New Roman" w:hAnsi="Times New Roman" w:eastAsia="宋体" w:cs="Times New Roman"/>
                <w:color w:val="auto"/>
                <w:highlight w:val="none"/>
              </w:rPr>
              <w:t>（例如：下浮</w:t>
            </w:r>
            <w:r>
              <w:rPr>
                <w:rFonts w:hint="eastAsia" w:cs="Times New Roman"/>
                <w:color w:val="auto"/>
                <w:highlight w:val="none"/>
                <w:lang w:val="en-US" w:eastAsia="zh-CN"/>
              </w:rPr>
              <w:t>15元/t</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br w:type="textWrapping"/>
            </w:r>
            <w:r>
              <w:rPr>
                <w:rFonts w:hint="default" w:ascii="Times New Roman" w:hAnsi="Times New Roman" w:eastAsia="宋体" w:cs="Times New Roman"/>
                <w:color w:val="auto"/>
                <w:highlight w:val="none"/>
              </w:rPr>
              <w:t>结算单价=基准价 - 中标下浮</w:t>
            </w:r>
            <w:r>
              <w:rPr>
                <w:rFonts w:hint="eastAsia" w:cs="Times New Roman"/>
                <w:color w:val="auto"/>
                <w:highlight w:val="none"/>
                <w:lang w:val="en-US" w:eastAsia="zh-CN"/>
              </w:rPr>
              <w:t>金额</w:t>
            </w:r>
            <w:r>
              <w:rPr>
                <w:rFonts w:hint="default" w:ascii="Times New Roman" w:hAnsi="Times New Roman" w:eastAsia="宋体" w:cs="Times New Roman"/>
                <w:color w:val="auto"/>
                <w:highlight w:val="none"/>
              </w:rPr>
              <w:t>。</w:t>
            </w:r>
          </w:p>
        </w:tc>
      </w:tr>
      <w:tr w14:paraId="09774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4AF0F8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1980" w:type="dxa"/>
            <w:tcBorders>
              <w:tl2br w:val="nil"/>
              <w:tr2bl w:val="nil"/>
            </w:tcBorders>
            <w:vAlign w:val="center"/>
          </w:tcPr>
          <w:p w14:paraId="007FA9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ascii="Segoe UI" w:hAnsi="Segoe UI" w:eastAsia="Segoe UI" w:cs="Segoe UI"/>
                <w:i w:val="0"/>
                <w:iCs w:val="0"/>
                <w:caps w:val="0"/>
                <w:color w:val="auto"/>
                <w:spacing w:val="0"/>
                <w:sz w:val="21"/>
                <w:szCs w:val="21"/>
                <w:highlight w:val="none"/>
                <w:shd w:val="clear" w:fill="FFFFFF"/>
              </w:rPr>
              <w:t>计量方式</w:t>
            </w:r>
          </w:p>
        </w:tc>
        <w:tc>
          <w:tcPr>
            <w:tcW w:w="5898" w:type="dxa"/>
            <w:tcBorders>
              <w:tl2br w:val="nil"/>
              <w:tr2bl w:val="nil"/>
            </w:tcBorders>
            <w:vAlign w:val="center"/>
          </w:tcPr>
          <w:p w14:paraId="1A5BFA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过磅计量</w:t>
            </w:r>
            <w:r>
              <w:rPr>
                <w:rFonts w:hint="default" w:ascii="Times New Roman" w:hAnsi="Times New Roman" w:eastAsia="宋体" w:cs="Times New Roman"/>
                <w:color w:val="auto"/>
                <w:highlight w:val="none"/>
              </w:rPr>
              <w:t>。以工地现场地磅或双方认可的第三方公磅称重数据为准。</w:t>
            </w:r>
          </w:p>
        </w:tc>
      </w:tr>
      <w:tr w14:paraId="72E6B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0622FA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1980" w:type="dxa"/>
            <w:tcBorders>
              <w:tl2br w:val="nil"/>
              <w:tr2bl w:val="nil"/>
            </w:tcBorders>
            <w:vAlign w:val="center"/>
          </w:tcPr>
          <w:p w14:paraId="750A93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ascii="Segoe UI" w:hAnsi="Segoe UI" w:eastAsia="Segoe UI" w:cs="Segoe UI"/>
                <w:i w:val="0"/>
                <w:iCs w:val="0"/>
                <w:caps w:val="0"/>
                <w:color w:val="auto"/>
                <w:spacing w:val="0"/>
                <w:sz w:val="21"/>
                <w:szCs w:val="21"/>
                <w:highlight w:val="none"/>
                <w:shd w:val="clear" w:fill="FFFFFF"/>
              </w:rPr>
              <w:t>价格联动</w:t>
            </w:r>
          </w:p>
        </w:tc>
        <w:tc>
          <w:tcPr>
            <w:tcW w:w="5898" w:type="dxa"/>
            <w:tcBorders>
              <w:tl2br w:val="nil"/>
              <w:tr2bl w:val="nil"/>
            </w:tcBorders>
            <w:vAlign w:val="center"/>
          </w:tcPr>
          <w:p w14:paraId="255EC8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实行网价联动机制</w:t>
            </w:r>
            <w:r>
              <w:rPr>
                <w:rFonts w:hint="default" w:ascii="Times New Roman" w:hAnsi="Times New Roman" w:eastAsia="宋体" w:cs="Times New Roman"/>
                <w:color w:val="auto"/>
                <w:highlight w:val="none"/>
              </w:rPr>
              <w:t>。</w:t>
            </w:r>
            <w:r>
              <w:rPr>
                <w:rFonts w:hint="eastAsia" w:cs="Times New Roman"/>
                <w:color w:val="auto"/>
                <w:highlight w:val="none"/>
                <w:lang w:val="en-US" w:eastAsia="zh-CN"/>
              </w:rPr>
              <w:t>结算价格</w:t>
            </w:r>
            <w:r>
              <w:rPr>
                <w:rFonts w:hint="eastAsia" w:ascii="Times New Roman" w:hAnsi="Times New Roman" w:eastAsia="宋体" w:cs="Times New Roman"/>
                <w:color w:val="auto"/>
                <w:highlight w:val="none"/>
              </w:rPr>
              <w:t>以送货当日</w:t>
            </w:r>
            <w:r>
              <w:rPr>
                <w:rFonts w:hint="eastAsia" w:ascii="Times New Roman" w:hAnsi="Times New Roman" w:cs="Times New Roman"/>
                <w:color w:val="auto"/>
                <w:highlight w:val="none"/>
                <w:lang w:eastAsia="zh-CN"/>
              </w:rPr>
              <w:t>“</w:t>
            </w:r>
            <w:r>
              <w:rPr>
                <w:rFonts w:hint="eastAsia" w:ascii="Times New Roman" w:hAnsi="Times New Roman" w:eastAsia="宋体" w:cs="Times New Roman"/>
                <w:color w:val="auto"/>
                <w:highlight w:val="none"/>
              </w:rPr>
              <w:t>我的钢铁网</w:t>
            </w:r>
            <w:r>
              <w:rPr>
                <w:rFonts w:hint="eastAsia" w:ascii="Times New Roman" w:hAnsi="Times New Roman" w:cs="Times New Roman"/>
                <w:color w:val="auto"/>
                <w:highlight w:val="none"/>
                <w:lang w:eastAsia="zh-CN"/>
              </w:rPr>
              <w:t>”</w:t>
            </w:r>
            <w:r>
              <w:rPr>
                <w:rFonts w:hint="eastAsia" w:ascii="Times New Roman" w:hAnsi="Times New Roman" w:eastAsia="宋体" w:cs="Times New Roman"/>
                <w:color w:val="auto"/>
                <w:highlight w:val="none"/>
              </w:rPr>
              <w:t>长沙地区同厂家、同品种、同规格钢材的市场建筑钢材价格行情的第一次网价（周六参照周五，周日参照下周一的价格，节假日以节前最后一个工作日和节后第一个工作日的首次价格的均价为基价）为基价</w:t>
            </w:r>
            <w:r>
              <w:rPr>
                <w:rFonts w:hint="default" w:ascii="Times New Roman" w:hAnsi="Times New Roman" w:eastAsia="宋体" w:cs="Times New Roman"/>
                <w:color w:val="auto"/>
                <w:highlight w:val="none"/>
              </w:rPr>
              <w:t>，不锁定固定单价。</w:t>
            </w:r>
          </w:p>
        </w:tc>
      </w:tr>
      <w:tr w14:paraId="60D2A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3DAEFE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bCs/>
                <w:color w:val="auto"/>
                <w:szCs w:val="21"/>
                <w:highlight w:val="none"/>
              </w:rPr>
            </w:pPr>
            <w:r>
              <w:rPr>
                <w:rFonts w:hint="eastAsia" w:ascii="宋体" w:hAnsi="宋体"/>
                <w:b/>
                <w:color w:val="auto"/>
                <w:szCs w:val="21"/>
                <w:highlight w:val="none"/>
              </w:rPr>
              <w:t>四、响应文件的递交</w:t>
            </w:r>
          </w:p>
        </w:tc>
      </w:tr>
      <w:tr w14:paraId="71AEE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shd w:val="clear" w:color="auto" w:fill="auto"/>
            <w:vAlign w:val="center"/>
          </w:tcPr>
          <w:p w14:paraId="1F6629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w:t>
            </w:r>
          </w:p>
        </w:tc>
        <w:tc>
          <w:tcPr>
            <w:tcW w:w="1980" w:type="dxa"/>
            <w:tcBorders>
              <w:tl2br w:val="nil"/>
              <w:tr2bl w:val="nil"/>
            </w:tcBorders>
            <w:shd w:val="clear" w:color="auto" w:fill="auto"/>
            <w:vAlign w:val="center"/>
          </w:tcPr>
          <w:p w14:paraId="50622ED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898" w:type="dxa"/>
            <w:tcBorders>
              <w:tl2br w:val="nil"/>
              <w:tr2bl w:val="nil"/>
            </w:tcBorders>
            <w:shd w:val="clear" w:color="auto" w:fill="auto"/>
            <w:vAlign w:val="center"/>
          </w:tcPr>
          <w:p w14:paraId="0139FD0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项目名称</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株洲北斗应用与信息技术产业示范基地配套基础设施项目（一期）钢筋材料采购</w:t>
            </w:r>
          </w:p>
          <w:p w14:paraId="3E75A8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single"/>
                <w:lang w:eastAsia="zh-CN"/>
              </w:rPr>
              <w:t xml:space="preserve">株洲市云龙发展集团城市建设有限公司   </w:t>
            </w:r>
            <w:r>
              <w:rPr>
                <w:rFonts w:hint="eastAsia" w:ascii="宋体" w:hAnsi="宋体"/>
                <w:color w:val="auto"/>
                <w:szCs w:val="21"/>
                <w:highlight w:val="none"/>
              </w:rPr>
              <w:t xml:space="preserve">                              </w:t>
            </w:r>
          </w:p>
          <w:p w14:paraId="7729DA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4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14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 xml:space="preserve"> </w:t>
            </w:r>
            <w:r>
              <w:rPr>
                <w:rFonts w:hint="eastAsia" w:ascii="宋体" w:hAnsi="宋体"/>
                <w:color w:val="auto"/>
                <w:szCs w:val="21"/>
                <w:highlight w:val="none"/>
              </w:rPr>
              <w:t>时（即响应文件开启时间）前不得启封</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14:paraId="278FDD5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Cs w:val="21"/>
                <w:highlight w:val="none"/>
                <w:u w:val="none"/>
                <w:lang w:eastAsia="zh-CN"/>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tc>
      </w:tr>
      <w:tr w14:paraId="7CECF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shd w:val="clear" w:color="auto" w:fill="auto"/>
            <w:vAlign w:val="center"/>
          </w:tcPr>
          <w:p w14:paraId="0EEE83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w:t>
            </w:r>
          </w:p>
        </w:tc>
        <w:tc>
          <w:tcPr>
            <w:tcW w:w="1980" w:type="dxa"/>
            <w:tcBorders>
              <w:tl2br w:val="nil"/>
              <w:tr2bl w:val="nil"/>
            </w:tcBorders>
            <w:shd w:val="clear" w:color="auto" w:fill="auto"/>
            <w:vAlign w:val="center"/>
          </w:tcPr>
          <w:p w14:paraId="7D3A48F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响应文件的递交地点</w:t>
            </w:r>
          </w:p>
        </w:tc>
        <w:tc>
          <w:tcPr>
            <w:tcW w:w="5898" w:type="dxa"/>
            <w:tcBorders>
              <w:tl2br w:val="nil"/>
              <w:tr2bl w:val="nil"/>
            </w:tcBorders>
            <w:shd w:val="clear" w:color="auto" w:fill="auto"/>
            <w:vAlign w:val="center"/>
          </w:tcPr>
          <w:p w14:paraId="23E463A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株洲市石峰区云龙大道88号管委会727室</w:t>
            </w:r>
          </w:p>
        </w:tc>
      </w:tr>
      <w:tr w14:paraId="1FD74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66410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980" w:type="dxa"/>
            <w:tcBorders>
              <w:tl2br w:val="nil"/>
              <w:tr2bl w:val="nil"/>
            </w:tcBorders>
            <w:vAlign w:val="center"/>
          </w:tcPr>
          <w:p w14:paraId="755F3E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二次报价</w:t>
            </w:r>
          </w:p>
        </w:tc>
        <w:tc>
          <w:tcPr>
            <w:tcW w:w="5898" w:type="dxa"/>
            <w:tcBorders>
              <w:tl2br w:val="nil"/>
              <w:tr2bl w:val="nil"/>
            </w:tcBorders>
            <w:vAlign w:val="center"/>
          </w:tcPr>
          <w:p w14:paraId="0E56416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谈判小组有权根据谈判情况决定是否进行二次报价。如进行二次报价，具体时间、地点及方式将由谈判小组另行通知</w:t>
            </w:r>
          </w:p>
        </w:tc>
      </w:tr>
      <w:tr w14:paraId="70FF8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6FFDC8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color w:val="auto"/>
                <w:szCs w:val="21"/>
                <w:highlight w:val="none"/>
              </w:rPr>
            </w:pPr>
            <w:r>
              <w:rPr>
                <w:rFonts w:hint="eastAsia" w:ascii="宋体" w:hAnsi="宋体"/>
                <w:b/>
                <w:color w:val="auto"/>
                <w:szCs w:val="21"/>
                <w:highlight w:val="none"/>
              </w:rPr>
              <w:t>七、其他规定</w:t>
            </w:r>
          </w:p>
        </w:tc>
      </w:tr>
      <w:tr w14:paraId="2063E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7073F5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980" w:type="dxa"/>
            <w:tcBorders>
              <w:tl2br w:val="nil"/>
              <w:tr2bl w:val="nil"/>
            </w:tcBorders>
            <w:vAlign w:val="center"/>
          </w:tcPr>
          <w:p w14:paraId="61FA7C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其他规定</w:t>
            </w:r>
          </w:p>
        </w:tc>
        <w:tc>
          <w:tcPr>
            <w:tcW w:w="5898" w:type="dxa"/>
            <w:tcBorders>
              <w:tl2br w:val="nil"/>
              <w:tr2bl w:val="nil"/>
            </w:tcBorders>
            <w:vAlign w:val="center"/>
          </w:tcPr>
          <w:p w14:paraId="2800996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至响应文件递交截止时间提交响应文件的供应商不足三家的，本项目予以废标，由采购人重新组织采购活动。</w:t>
            </w:r>
          </w:p>
          <w:p w14:paraId="3F2AEAAC">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在本项目评审过程中合格供应商只有两家时，由评审小组根据本项目是否依然存在竞争</w:t>
            </w:r>
            <w:r>
              <w:rPr>
                <w:rFonts w:hint="eastAsia"/>
                <w:color w:val="auto"/>
                <w:highlight w:val="none"/>
                <w:lang w:eastAsia="zh-CN"/>
              </w:rPr>
              <w:t>，</w:t>
            </w:r>
            <w:r>
              <w:rPr>
                <w:rFonts w:hint="eastAsia"/>
                <w:color w:val="auto"/>
                <w:highlight w:val="none"/>
              </w:rPr>
              <w:t>集体决议本项目采购活动是否继续进行。评审小组意见不一致的，以少数服从多数的原则进行票决。</w:t>
            </w:r>
          </w:p>
        </w:tc>
      </w:tr>
      <w:tr w14:paraId="3D5B7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32CDA9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1980" w:type="dxa"/>
            <w:tcBorders>
              <w:tl2br w:val="nil"/>
              <w:tr2bl w:val="nil"/>
            </w:tcBorders>
            <w:vAlign w:val="center"/>
          </w:tcPr>
          <w:p w14:paraId="747D7B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解释权</w:t>
            </w:r>
          </w:p>
        </w:tc>
        <w:tc>
          <w:tcPr>
            <w:tcW w:w="5898" w:type="dxa"/>
            <w:tcBorders>
              <w:tl2br w:val="nil"/>
              <w:tr2bl w:val="nil"/>
            </w:tcBorders>
            <w:vAlign w:val="center"/>
          </w:tcPr>
          <w:p w14:paraId="1010C300">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构成本采购文件的各个组成文件应互为解释，互为说明；如有不明确或不一致，构成合同文件组成内容，以合同文件约定内容为准，且以专用合同条款约定的合同文件优先顺序解释；除采购文件中有特别规定外，仅适用于采购活动阶段的规定，按采购公告（采购邀请书）、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B8DF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69EC39EA">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宋体" w:hAnsi="宋体"/>
                <w:color w:val="auto"/>
                <w:szCs w:val="21"/>
                <w:highlight w:val="none"/>
              </w:rPr>
            </w:pPr>
            <w:r>
              <w:rPr>
                <w:rFonts w:hint="eastAsia" w:ascii="宋体" w:hAnsi="宋体" w:cs="宋体"/>
                <w:color w:val="auto"/>
                <w:kern w:val="0"/>
                <w:szCs w:val="21"/>
                <w:highlight w:val="none"/>
                <w:lang w:val="en-US" w:eastAsia="zh-CN"/>
              </w:rPr>
              <w:t>13</w:t>
            </w:r>
          </w:p>
        </w:tc>
        <w:tc>
          <w:tcPr>
            <w:tcW w:w="1980" w:type="dxa"/>
            <w:tcBorders>
              <w:tl2br w:val="nil"/>
              <w:tr2bl w:val="nil"/>
            </w:tcBorders>
            <w:vAlign w:val="center"/>
          </w:tcPr>
          <w:p w14:paraId="2AA44E3A">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宋体" w:hAnsi="宋体" w:cs="宋体"/>
                <w:color w:val="auto"/>
                <w:szCs w:val="21"/>
                <w:highlight w:val="none"/>
              </w:rPr>
            </w:pPr>
            <w:r>
              <w:rPr>
                <w:rFonts w:ascii="Segoe UI" w:hAnsi="Segoe UI" w:eastAsia="Segoe UI" w:cs="Segoe UI"/>
                <w:i w:val="0"/>
                <w:iCs w:val="0"/>
                <w:caps w:val="0"/>
                <w:color w:val="auto"/>
                <w:spacing w:val="0"/>
                <w:sz w:val="21"/>
                <w:szCs w:val="21"/>
                <w:highlight w:val="none"/>
                <w:shd w:val="clear" w:fill="FFFFFF"/>
              </w:rPr>
              <w:t>废标条款</w:t>
            </w:r>
          </w:p>
        </w:tc>
        <w:tc>
          <w:tcPr>
            <w:tcW w:w="5898" w:type="dxa"/>
            <w:tcBorders>
              <w:tl2br w:val="nil"/>
              <w:tr2bl w:val="nil"/>
            </w:tcBorders>
            <w:vAlign w:val="center"/>
          </w:tcPr>
          <w:p w14:paraId="237278FE">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color w:val="auto"/>
                <w:highlight w:val="none"/>
              </w:rPr>
            </w:pPr>
            <w:r>
              <w:rPr>
                <w:rFonts w:ascii="Segoe UI" w:hAnsi="Segoe UI" w:eastAsia="Segoe UI" w:cs="Segoe UI"/>
                <w:i w:val="0"/>
                <w:iCs w:val="0"/>
                <w:caps w:val="0"/>
                <w:color w:val="auto"/>
                <w:spacing w:val="0"/>
                <w:sz w:val="21"/>
                <w:szCs w:val="21"/>
                <w:highlight w:val="none"/>
                <w:shd w:val="clear" w:fill="FFFFFF"/>
              </w:rPr>
              <w:t>所投品牌不在指定范围内（湘钢、萍钢、涟钢）的，直接废标。</w:t>
            </w:r>
          </w:p>
        </w:tc>
      </w:tr>
    </w:tbl>
    <w:p w14:paraId="37DD3766">
      <w:pPr>
        <w:pStyle w:val="2"/>
        <w:numPr>
          <w:ilvl w:val="0"/>
          <w:numId w:val="0"/>
        </w:numPr>
        <w:jc w:val="left"/>
        <w:rPr>
          <w:rFonts w:hint="eastAsia" w:ascii="黑体" w:hAnsi="宋体" w:eastAsia="黑体"/>
          <w:b/>
          <w:bCs/>
          <w:color w:val="auto"/>
          <w:sz w:val="24"/>
          <w:highlight w:val="none"/>
        </w:rPr>
      </w:pPr>
    </w:p>
    <w:p w14:paraId="085DB3ED">
      <w:pPr>
        <w:pStyle w:val="2"/>
        <w:keepNext w:val="0"/>
        <w:keepLines w:val="0"/>
        <w:pageBreakBefore w:val="0"/>
        <w:numPr>
          <w:ilvl w:val="0"/>
          <w:numId w:val="0"/>
        </w:numPr>
        <w:kinsoku/>
        <w:wordWrap/>
        <w:overflowPunct/>
        <w:topLinePunct w:val="0"/>
        <w:autoSpaceDE/>
        <w:bidi w:val="0"/>
        <w:spacing w:line="360" w:lineRule="auto"/>
        <w:jc w:val="left"/>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一、说明</w:t>
      </w:r>
    </w:p>
    <w:p w14:paraId="6503C68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1.适用范围</w:t>
      </w:r>
    </w:p>
    <w:p w14:paraId="13F942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1.1 本采购文件仅适用于</w:t>
      </w:r>
      <w:r>
        <w:rPr>
          <w:rFonts w:hint="eastAsia" w:ascii="宋体" w:hAnsi="宋体"/>
          <w:color w:val="auto"/>
          <w:szCs w:val="21"/>
          <w:highlight w:val="none"/>
          <w:lang w:eastAsia="zh-CN"/>
        </w:rPr>
        <w:t>竞谈须知前附表</w:t>
      </w:r>
      <w:r>
        <w:rPr>
          <w:rFonts w:hint="eastAsia" w:ascii="宋体" w:hAnsi="宋体"/>
          <w:color w:val="auto"/>
          <w:szCs w:val="21"/>
          <w:highlight w:val="none"/>
        </w:rPr>
        <w:t>(以下简称</w:t>
      </w:r>
      <w:r>
        <w:rPr>
          <w:rFonts w:hint="eastAsia" w:ascii="宋体" w:hAnsi="宋体"/>
          <w:b/>
          <w:color w:val="auto"/>
          <w:szCs w:val="21"/>
          <w:highlight w:val="none"/>
          <w:lang w:eastAsia="zh-CN"/>
        </w:rPr>
        <w:t>竞谈须知</w:t>
      </w:r>
      <w:r>
        <w:rPr>
          <w:rFonts w:hint="eastAsia" w:ascii="宋体" w:hAnsi="宋体"/>
          <w:b/>
          <w:color w:val="auto"/>
          <w:szCs w:val="21"/>
          <w:highlight w:val="none"/>
        </w:rPr>
        <w:t>前附表)</w:t>
      </w:r>
      <w:r>
        <w:rPr>
          <w:rFonts w:hint="eastAsia" w:ascii="宋体" w:hAnsi="宋体"/>
          <w:color w:val="auto"/>
          <w:szCs w:val="21"/>
          <w:highlight w:val="none"/>
        </w:rPr>
        <w:t>中所叙述的采购项目。</w:t>
      </w:r>
    </w:p>
    <w:p w14:paraId="7CEF103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2.定义</w:t>
      </w:r>
    </w:p>
    <w:p w14:paraId="310A23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2.1 “采购人”是指提出并组织实施采购项目的法人或其他组织。本次采购的采购人名称、地址、电话、联系人见</w:t>
      </w:r>
      <w:r>
        <w:rPr>
          <w:rFonts w:hint="eastAsia" w:ascii="宋体" w:hAnsi="宋体"/>
          <w:b/>
          <w:color w:val="auto"/>
          <w:szCs w:val="21"/>
          <w:highlight w:val="none"/>
          <w:lang w:eastAsia="zh-CN"/>
        </w:rPr>
        <w:t>竞谈须知</w:t>
      </w:r>
      <w:r>
        <w:rPr>
          <w:rFonts w:hint="eastAsia" w:ascii="宋体" w:hAnsi="宋体"/>
          <w:b/>
          <w:color w:val="auto"/>
          <w:szCs w:val="21"/>
          <w:highlight w:val="none"/>
        </w:rPr>
        <w:t>前附表</w:t>
      </w:r>
      <w:r>
        <w:rPr>
          <w:rFonts w:hint="eastAsia" w:ascii="宋体" w:hAnsi="宋体"/>
          <w:color w:val="auto"/>
          <w:szCs w:val="21"/>
          <w:highlight w:val="none"/>
        </w:rPr>
        <w:t>。</w:t>
      </w:r>
    </w:p>
    <w:p w14:paraId="655F1A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2.2  “供应商”是指参加采购活动，有意向为采购人提供工程、货物或服务的法人、其他组织或自然人。</w:t>
      </w:r>
    </w:p>
    <w:p w14:paraId="090BE5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“评审小组”是指采购活动中，由采购人组建的负责按照采购文件规定的评审方法和标准对响应文件进行评审和比较、向采购人推荐候选成交供应商的工作组。</w:t>
      </w:r>
    </w:p>
    <w:p w14:paraId="6A9E835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3.供应商的资格要求</w:t>
      </w:r>
    </w:p>
    <w:p w14:paraId="0395AF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3.1 供应商应当符合</w:t>
      </w:r>
      <w:r>
        <w:rPr>
          <w:rFonts w:hint="eastAsia" w:ascii="宋体" w:hAnsi="宋体"/>
          <w:b/>
          <w:color w:val="auto"/>
          <w:szCs w:val="21"/>
          <w:highlight w:val="none"/>
          <w:lang w:eastAsia="zh-CN"/>
        </w:rPr>
        <w:t>竞谈须知</w:t>
      </w:r>
      <w:r>
        <w:rPr>
          <w:rFonts w:hint="eastAsia" w:ascii="宋体" w:hAnsi="宋体"/>
          <w:b/>
          <w:color w:val="auto"/>
          <w:szCs w:val="21"/>
          <w:highlight w:val="none"/>
        </w:rPr>
        <w:t>前附表</w:t>
      </w:r>
      <w:r>
        <w:rPr>
          <w:rFonts w:hint="eastAsia" w:ascii="宋体" w:hAnsi="宋体"/>
          <w:color w:val="auto"/>
          <w:szCs w:val="21"/>
          <w:highlight w:val="none"/>
        </w:rPr>
        <w:t>中规定的下列资格条件要求；</w:t>
      </w:r>
    </w:p>
    <w:p w14:paraId="7F29D1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3.2 供应商不得存在下列情形之一：</w:t>
      </w:r>
    </w:p>
    <w:p w14:paraId="5BC829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（l）与采购人存在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158C20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（2）与其他供应商的法定代表人（或者负责人）为同一人，或者与其他供应商存在控股、关联关系。</w:t>
      </w:r>
    </w:p>
    <w:p w14:paraId="0D307D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（3）因违法经营受到刑事处罚或者责令停产停业、吊销许可证或者执照、较大数额罚款等行政处罚。</w:t>
      </w:r>
    </w:p>
    <w:p w14:paraId="6817330C">
      <w:pPr>
        <w:pStyle w:val="1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b/>
          <w:bCs/>
          <w:color w:val="auto"/>
          <w:highlight w:val="none"/>
        </w:rPr>
      </w:pPr>
      <w:r>
        <w:rPr>
          <w:rFonts w:hint="eastAsia" w:hAnsi="宋体"/>
          <w:b/>
          <w:color w:val="auto"/>
          <w:highlight w:val="none"/>
          <w:lang w:val="en-US" w:eastAsia="zh-CN"/>
        </w:rPr>
        <w:t>4</w:t>
      </w:r>
      <w:r>
        <w:rPr>
          <w:rFonts w:hint="eastAsia" w:hAnsi="宋体"/>
          <w:b/>
          <w:color w:val="auto"/>
          <w:highlight w:val="none"/>
        </w:rPr>
        <w:t>．</w:t>
      </w:r>
      <w:r>
        <w:rPr>
          <w:rFonts w:hint="eastAsia" w:hAnsi="宋体"/>
          <w:b/>
          <w:bCs/>
          <w:color w:val="auto"/>
          <w:highlight w:val="none"/>
        </w:rPr>
        <w:t>授权委托</w:t>
      </w:r>
    </w:p>
    <w:p w14:paraId="3420C3C5">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4</w:t>
      </w:r>
      <w:r>
        <w:rPr>
          <w:rFonts w:hint="eastAsia" w:hAnsi="宋体"/>
          <w:color w:val="auto"/>
          <w:highlight w:val="none"/>
        </w:rPr>
        <w:t>.1供应商代表为供应商法定代表人的，应持有法定代表人身份证明。供应商代表不是供应商法定代表人的，应持有法定代表人授权书，并附法定代表人身份证明。</w:t>
      </w:r>
    </w:p>
    <w:p w14:paraId="1C9A9434">
      <w:pPr>
        <w:keepNext w:val="0"/>
        <w:keepLines w:val="0"/>
        <w:pageBreakBefore w:val="0"/>
        <w:kinsoku/>
        <w:wordWrap/>
        <w:overflowPunct/>
        <w:topLinePunct w:val="0"/>
        <w:autoSpaceDE/>
        <w:bidi w:val="0"/>
        <w:adjustRightInd w:val="0"/>
        <w:snapToGrid w:val="0"/>
        <w:spacing w:line="360" w:lineRule="auto"/>
        <w:ind w:left="902" w:hanging="906" w:hangingChars="376"/>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二、采购文件</w:t>
      </w:r>
    </w:p>
    <w:p w14:paraId="16D99FF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．采购文件的组成</w:t>
      </w:r>
    </w:p>
    <w:p w14:paraId="46346543">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5</w:t>
      </w:r>
      <w:r>
        <w:rPr>
          <w:rFonts w:hint="eastAsia" w:hAnsi="宋体"/>
          <w:color w:val="auto"/>
          <w:highlight w:val="none"/>
        </w:rPr>
        <w:t>.1 采购文件由下列文件组成：</w:t>
      </w:r>
    </w:p>
    <w:p w14:paraId="73B13627">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eastAsia="宋体"/>
          <w:color w:val="auto"/>
          <w:highlight w:val="none"/>
          <w:lang w:eastAsia="zh-CN"/>
        </w:rPr>
      </w:pPr>
      <w:r>
        <w:rPr>
          <w:rFonts w:hint="eastAsia" w:hAnsi="宋体"/>
          <w:color w:val="auto"/>
          <w:highlight w:val="none"/>
        </w:rPr>
        <w:t xml:space="preserve">第一章  </w:t>
      </w:r>
      <w:r>
        <w:rPr>
          <w:rFonts w:hint="eastAsia" w:hAnsi="宋体"/>
          <w:color w:val="auto"/>
          <w:highlight w:val="none"/>
          <w:lang w:eastAsia="zh-CN"/>
        </w:rPr>
        <w:t>竞谈采购邀请书</w:t>
      </w:r>
    </w:p>
    <w:p w14:paraId="2E8057FF">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第二章  供应商须知</w:t>
      </w:r>
    </w:p>
    <w:p w14:paraId="41BCBEA4">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第三章  评审办法</w:t>
      </w:r>
    </w:p>
    <w:p w14:paraId="6256C402">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第四章  采购需求</w:t>
      </w:r>
    </w:p>
    <w:p w14:paraId="256080C6">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color w:val="auto"/>
          <w:highlight w:val="none"/>
        </w:rPr>
      </w:pPr>
      <w:r>
        <w:rPr>
          <w:rFonts w:hint="eastAsia" w:hAnsi="宋体"/>
          <w:color w:val="auto"/>
          <w:highlight w:val="none"/>
        </w:rPr>
        <w:t>第五章  响应文件组成</w:t>
      </w:r>
    </w:p>
    <w:p w14:paraId="3CD097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highlight w:val="none"/>
          <w:lang w:val="en-US" w:eastAsia="zh-CN"/>
        </w:rPr>
        <w:t>5</w:t>
      </w: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szCs w:val="21"/>
          <w:highlight w:val="none"/>
        </w:rPr>
        <w:t>供应商应仔细阅读</w:t>
      </w:r>
      <w:r>
        <w:rPr>
          <w:rFonts w:hint="eastAsia" w:ascii="宋体" w:hAnsi="宋体"/>
          <w:bCs/>
          <w:color w:val="auto"/>
          <w:szCs w:val="21"/>
          <w:highlight w:val="none"/>
        </w:rPr>
        <w:t>采购文件</w:t>
      </w:r>
      <w:r>
        <w:rPr>
          <w:rFonts w:hint="eastAsia" w:ascii="宋体" w:hAnsi="宋体"/>
          <w:color w:val="auto"/>
          <w:szCs w:val="21"/>
          <w:highlight w:val="none"/>
        </w:rPr>
        <w:t>的全部内容，按照</w:t>
      </w:r>
      <w:r>
        <w:rPr>
          <w:rFonts w:hint="eastAsia" w:ascii="宋体" w:hAnsi="宋体"/>
          <w:bCs/>
          <w:color w:val="auto"/>
          <w:szCs w:val="21"/>
          <w:highlight w:val="none"/>
        </w:rPr>
        <w:t>采购文件</w:t>
      </w:r>
      <w:r>
        <w:rPr>
          <w:rFonts w:hint="eastAsia" w:ascii="宋体" w:hAnsi="宋体"/>
          <w:color w:val="auto"/>
          <w:szCs w:val="21"/>
          <w:highlight w:val="none"/>
        </w:rPr>
        <w:t>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采购文件</w:t>
      </w:r>
      <w:r>
        <w:rPr>
          <w:rFonts w:hint="eastAsia" w:ascii="宋体" w:hAnsi="宋体"/>
          <w:color w:val="auto"/>
          <w:szCs w:val="21"/>
          <w:highlight w:val="none"/>
        </w:rPr>
        <w:t>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14:paraId="799ACCAC">
      <w:pPr>
        <w:pStyle w:val="1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olor w:val="auto"/>
          <w:highlight w:val="none"/>
        </w:rPr>
      </w:pPr>
      <w:r>
        <w:rPr>
          <w:rFonts w:hint="eastAsia" w:hAnsi="宋体"/>
          <w:b/>
          <w:color w:val="auto"/>
          <w:highlight w:val="none"/>
          <w:lang w:val="en-US" w:eastAsia="zh-CN"/>
        </w:rPr>
        <w:t>6</w:t>
      </w:r>
      <w:r>
        <w:rPr>
          <w:rFonts w:hint="eastAsia" w:hAnsi="宋体"/>
          <w:b/>
          <w:color w:val="auto"/>
          <w:highlight w:val="none"/>
        </w:rPr>
        <w:t>.</w:t>
      </w:r>
      <w:r>
        <w:rPr>
          <w:rFonts w:hint="eastAsia" w:hAnsi="宋体" w:cs="宋体"/>
          <w:b/>
          <w:color w:val="auto"/>
          <w:kern w:val="0"/>
          <w:highlight w:val="none"/>
        </w:rPr>
        <w:t>提交响应文件</w:t>
      </w:r>
      <w:r>
        <w:rPr>
          <w:rFonts w:hint="eastAsia" w:hAnsi="宋体"/>
          <w:b/>
          <w:color w:val="auto"/>
          <w:highlight w:val="none"/>
        </w:rPr>
        <w:t>的</w:t>
      </w:r>
      <w:r>
        <w:rPr>
          <w:rFonts w:hint="eastAsia" w:hAnsi="宋体" w:cs="宋体"/>
          <w:b/>
          <w:color w:val="auto"/>
          <w:kern w:val="0"/>
          <w:highlight w:val="none"/>
        </w:rPr>
        <w:t>截止</w:t>
      </w:r>
      <w:r>
        <w:rPr>
          <w:rFonts w:hint="eastAsia" w:hAnsi="宋体"/>
          <w:b/>
          <w:color w:val="auto"/>
          <w:highlight w:val="none"/>
        </w:rPr>
        <w:t>时间</w:t>
      </w:r>
    </w:p>
    <w:p w14:paraId="64B3F563">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6</w:t>
      </w:r>
      <w:r>
        <w:rPr>
          <w:rFonts w:hint="eastAsia" w:hAnsi="宋体"/>
          <w:color w:val="auto"/>
          <w:highlight w:val="none"/>
        </w:rPr>
        <w:t>.1</w:t>
      </w:r>
      <w:r>
        <w:rPr>
          <w:rFonts w:hint="eastAsia" w:hAnsi="宋体" w:cs="宋体"/>
          <w:color w:val="auto"/>
          <w:kern w:val="0"/>
          <w:highlight w:val="none"/>
        </w:rPr>
        <w:t>供应商提交响应文件截止</w:t>
      </w:r>
      <w:r>
        <w:rPr>
          <w:rFonts w:hint="eastAsia" w:hAnsi="宋体"/>
          <w:color w:val="auto"/>
          <w:highlight w:val="none"/>
        </w:rPr>
        <w:t>时间见</w:t>
      </w:r>
      <w:r>
        <w:rPr>
          <w:rFonts w:hint="eastAsia" w:hAnsi="宋体"/>
          <w:b/>
          <w:color w:val="auto"/>
          <w:szCs w:val="21"/>
          <w:highlight w:val="none"/>
          <w:lang w:eastAsia="zh-CN"/>
        </w:rPr>
        <w:t>竞谈须知</w:t>
      </w:r>
      <w:r>
        <w:rPr>
          <w:rFonts w:hint="eastAsia" w:ascii="宋体" w:hAnsi="宋体"/>
          <w:b/>
          <w:color w:val="auto"/>
          <w:szCs w:val="21"/>
          <w:highlight w:val="none"/>
        </w:rPr>
        <w:t>前附表</w:t>
      </w:r>
      <w:r>
        <w:rPr>
          <w:rFonts w:hint="eastAsia" w:hAnsi="宋体"/>
          <w:color w:val="auto"/>
          <w:highlight w:val="none"/>
        </w:rPr>
        <w:t>。</w:t>
      </w:r>
    </w:p>
    <w:p w14:paraId="5937C957">
      <w:pPr>
        <w:keepNext w:val="0"/>
        <w:keepLines w:val="0"/>
        <w:pageBreakBefore w:val="0"/>
        <w:kinsoku/>
        <w:wordWrap/>
        <w:overflowPunct/>
        <w:topLinePunct w:val="0"/>
        <w:autoSpaceDE/>
        <w:bidi w:val="0"/>
        <w:adjustRightInd w:val="0"/>
        <w:snapToGrid w:val="0"/>
        <w:spacing w:line="360" w:lineRule="auto"/>
        <w:ind w:left="902" w:hanging="906" w:hangingChars="376"/>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三、响应文件</w:t>
      </w:r>
    </w:p>
    <w:p w14:paraId="6417044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7</w:t>
      </w:r>
      <w:r>
        <w:rPr>
          <w:rFonts w:hint="eastAsia" w:ascii="宋体" w:hAnsi="宋体"/>
          <w:b/>
          <w:bCs/>
          <w:color w:val="auto"/>
          <w:szCs w:val="21"/>
          <w:highlight w:val="none"/>
        </w:rPr>
        <w:t>.一般要求</w:t>
      </w:r>
    </w:p>
    <w:p w14:paraId="7DDE25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.1 供应商应仔细阅读采购文件的所有内容，按采购文件的要求编制响应文件，并保证所提供的全部资料的真实性，以使其响应文件对采购文件做出实质性的响应。</w:t>
      </w:r>
    </w:p>
    <w:p w14:paraId="640DD6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 xml:space="preserve">.2 </w:t>
      </w:r>
      <w:r>
        <w:rPr>
          <w:rFonts w:hint="eastAsia" w:hAnsi="宋体"/>
          <w:bCs/>
          <w:color w:val="auto"/>
          <w:highlight w:val="none"/>
        </w:rPr>
        <w:t xml:space="preserve"> </w:t>
      </w:r>
      <w:r>
        <w:rPr>
          <w:rFonts w:hint="eastAsia" w:hAnsi="宋体"/>
          <w:color w:val="auto"/>
          <w:highlight w:val="none"/>
        </w:rPr>
        <w:t>计量单位应使用我国法定计量单位，未列明时应默认为我国法定计量单位。</w:t>
      </w:r>
    </w:p>
    <w:p w14:paraId="32F2D81B">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7</w:t>
      </w:r>
      <w:r>
        <w:rPr>
          <w:rFonts w:hint="eastAsia" w:hAnsi="宋体"/>
          <w:color w:val="auto"/>
          <w:highlight w:val="none"/>
        </w:rPr>
        <w:t>.</w:t>
      </w:r>
      <w:r>
        <w:rPr>
          <w:rFonts w:hint="eastAsia" w:hAnsi="宋体"/>
          <w:color w:val="auto"/>
          <w:highlight w:val="none"/>
          <w:lang w:val="en-US" w:eastAsia="zh-CN"/>
        </w:rPr>
        <w:t>3</w:t>
      </w:r>
      <w:r>
        <w:rPr>
          <w:rFonts w:hint="eastAsia" w:hAnsi="宋体"/>
          <w:color w:val="auto"/>
          <w:highlight w:val="none"/>
        </w:rPr>
        <w:t xml:space="preserve"> 响应文件应采用书面形式，电报、传真、电子邮件形式的响应文件概不接受。</w:t>
      </w:r>
    </w:p>
    <w:p w14:paraId="5A5EE7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供应商应按采购文件中提供的响应文件格式填写。</w:t>
      </w:r>
    </w:p>
    <w:p w14:paraId="1E0AA18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8</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14:paraId="290A3A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.1</w:t>
      </w:r>
      <w:r>
        <w:rPr>
          <w:rFonts w:hint="eastAsia" w:hAnsi="宋体"/>
          <w:color w:val="auto"/>
          <w:highlight w:val="none"/>
        </w:rPr>
        <w:t xml:space="preserve"> 响应文件包括下列内容：</w:t>
      </w:r>
      <w:r>
        <w:rPr>
          <w:rFonts w:hint="eastAsia" w:ascii="宋体" w:hAnsi="宋体"/>
          <w:color w:val="auto"/>
          <w:szCs w:val="21"/>
          <w:highlight w:val="none"/>
        </w:rPr>
        <w:t xml:space="preserve"> </w:t>
      </w:r>
    </w:p>
    <w:p w14:paraId="1498BBA4">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响应声明</w:t>
      </w:r>
    </w:p>
    <w:p w14:paraId="6F2BDB5F">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供应商资格证明材料</w:t>
      </w:r>
    </w:p>
    <w:p w14:paraId="78370293">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报价一览表及报价文件</w:t>
      </w:r>
    </w:p>
    <w:p w14:paraId="05B517C7">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供应商认为需要提供的其它资料</w:t>
      </w:r>
    </w:p>
    <w:p w14:paraId="760D70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.2</w:t>
      </w:r>
      <w:r>
        <w:rPr>
          <w:rFonts w:hint="eastAsia" w:ascii="宋体" w:hAnsi="宋体"/>
          <w:color w:val="auto"/>
          <w:szCs w:val="21"/>
          <w:highlight w:val="none"/>
        </w:rPr>
        <w:t>供应商无论成交与否，其响应文件不予退还。</w:t>
      </w:r>
    </w:p>
    <w:p w14:paraId="0A0795F3">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9</w:t>
      </w:r>
      <w:r>
        <w:rPr>
          <w:rFonts w:hint="eastAsia" w:ascii="宋体" w:hAnsi="宋体"/>
          <w:b/>
          <w:bCs/>
          <w:color w:val="auto"/>
          <w:szCs w:val="21"/>
          <w:highlight w:val="none"/>
        </w:rPr>
        <w:t>.报价</w:t>
      </w:r>
    </w:p>
    <w:p w14:paraId="4A05ECD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.1供应商应当根据采购文件要求和范围，以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43C3777E">
      <w:pPr>
        <w:pStyle w:val="34"/>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.2供应商应按第四章“采购需求”要求及第五章“响应文件组成”格式填写。供应商在</w:t>
      </w:r>
      <w:r>
        <w:rPr>
          <w:rFonts w:hint="eastAsia" w:ascii="宋体" w:hAnsi="宋体" w:cs="宋体"/>
          <w:color w:val="auto"/>
          <w:highlight w:val="none"/>
        </w:rPr>
        <w:t>提交响应文件截止之日前</w:t>
      </w:r>
      <w:r>
        <w:rPr>
          <w:rFonts w:hint="eastAsia" w:ascii="宋体" w:hAnsi="宋体"/>
          <w:color w:val="auto"/>
          <w:highlight w:val="none"/>
        </w:rPr>
        <w:t>修改报价一览表中的报价，应同时修改其按第五章要求填写的相应表格中的报价。</w:t>
      </w:r>
      <w:r>
        <w:rPr>
          <w:rFonts w:hint="eastAsia" w:ascii="宋体" w:hAnsi="宋体" w:cs="宋体"/>
          <w:color w:val="auto"/>
          <w:highlight w:val="none"/>
        </w:rPr>
        <w:t>此修改须符合本章第</w:t>
      </w:r>
      <w:r>
        <w:rPr>
          <w:rFonts w:hint="eastAsia" w:ascii="宋体" w:hAnsi="宋体" w:cs="宋体"/>
          <w:color w:val="auto"/>
          <w:highlight w:val="none"/>
          <w:lang w:val="en-US" w:eastAsia="zh-CN"/>
        </w:rPr>
        <w:t>13</w:t>
      </w:r>
      <w:r>
        <w:rPr>
          <w:rFonts w:hint="eastAsia" w:ascii="宋体" w:hAnsi="宋体" w:cs="宋体"/>
          <w:color w:val="auto"/>
          <w:highlight w:val="none"/>
        </w:rPr>
        <w:t>.1款的有关要求。</w:t>
      </w:r>
    </w:p>
    <w:p w14:paraId="2A182293">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0</w:t>
      </w:r>
      <w:r>
        <w:rPr>
          <w:rFonts w:hint="eastAsia" w:ascii="宋体" w:hAnsi="宋体"/>
          <w:b/>
          <w:bCs/>
          <w:color w:val="auto"/>
          <w:szCs w:val="21"/>
          <w:highlight w:val="none"/>
        </w:rPr>
        <w:t>.</w:t>
      </w:r>
      <w:r>
        <w:rPr>
          <w:rFonts w:hint="eastAsia" w:ascii="宋体" w:hAnsi="宋体"/>
          <w:color w:val="auto"/>
          <w:szCs w:val="21"/>
          <w:highlight w:val="none"/>
        </w:rPr>
        <w:t xml:space="preserve"> </w:t>
      </w:r>
      <w:r>
        <w:rPr>
          <w:rFonts w:hint="eastAsia" w:hAnsi="宋体"/>
          <w:b/>
          <w:color w:val="auto"/>
          <w:highlight w:val="none"/>
        </w:rPr>
        <w:t>响应文件</w:t>
      </w:r>
      <w:r>
        <w:rPr>
          <w:rFonts w:hint="eastAsia" w:ascii="宋体" w:hAnsi="宋体"/>
          <w:b/>
          <w:color w:val="auto"/>
          <w:szCs w:val="21"/>
          <w:highlight w:val="none"/>
        </w:rPr>
        <w:t>有效期</w:t>
      </w:r>
    </w:p>
    <w:p w14:paraId="3974C6A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0</w:t>
      </w:r>
      <w:r>
        <w:rPr>
          <w:rFonts w:hint="eastAsia" w:ascii="宋体" w:hAnsi="宋体"/>
          <w:color w:val="auto"/>
          <w:highlight w:val="none"/>
        </w:rPr>
        <w:t>.1响应文件</w:t>
      </w:r>
      <w:r>
        <w:rPr>
          <w:rFonts w:hint="eastAsia" w:ascii="宋体" w:hAnsi="宋体"/>
          <w:color w:val="auto"/>
          <w:szCs w:val="21"/>
          <w:highlight w:val="none"/>
        </w:rPr>
        <w:t>有效期见</w:t>
      </w:r>
      <w:r>
        <w:rPr>
          <w:rFonts w:hint="eastAsia" w:ascii="宋体" w:hAnsi="宋体"/>
          <w:b/>
          <w:color w:val="auto"/>
          <w:highlight w:val="none"/>
          <w:lang w:eastAsia="zh-CN"/>
        </w:rPr>
        <w:t>竞谈须知</w:t>
      </w:r>
      <w:r>
        <w:rPr>
          <w:rFonts w:hint="eastAsia" w:ascii="宋体" w:hAnsi="宋体"/>
          <w:b/>
          <w:color w:val="auto"/>
          <w:highlight w:val="none"/>
        </w:rPr>
        <w:t>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olor w:val="auto"/>
          <w:highlight w:val="none"/>
        </w:rPr>
        <w:t>本章第</w:t>
      </w:r>
      <w:r>
        <w:rPr>
          <w:rFonts w:hint="eastAsia" w:ascii="宋体" w:hAnsi="宋体"/>
          <w:color w:val="auto"/>
          <w:highlight w:val="none"/>
          <w:lang w:val="en-US" w:eastAsia="zh-CN"/>
        </w:rPr>
        <w:t>6</w:t>
      </w:r>
      <w:r>
        <w:rPr>
          <w:rFonts w:hint="eastAsia" w:ascii="宋体" w:hAnsi="宋体"/>
          <w:color w:val="auto"/>
          <w:highlight w:val="none"/>
        </w:rPr>
        <w:t>.1</w:t>
      </w:r>
      <w:r>
        <w:rPr>
          <w:rFonts w:hint="eastAsia" w:ascii="宋体" w:hAnsi="宋体" w:cs="宋体"/>
          <w:color w:val="auto"/>
          <w:kern w:val="0"/>
          <w:szCs w:val="21"/>
          <w:highlight w:val="none"/>
          <w:lang w:val="zh-CN"/>
        </w:rPr>
        <w:t>款</w:t>
      </w:r>
      <w:r>
        <w:rPr>
          <w:rFonts w:hint="eastAsia" w:hAnsi="宋体"/>
          <w:color w:val="auto"/>
          <w:highlight w:val="none"/>
        </w:rPr>
        <w:t>规定的</w:t>
      </w:r>
      <w:r>
        <w:rPr>
          <w:rFonts w:hint="eastAsia" w:ascii="宋体" w:hAnsi="宋体" w:cs="宋体"/>
          <w:color w:val="auto"/>
          <w:kern w:val="0"/>
          <w:szCs w:val="21"/>
          <w:highlight w:val="none"/>
        </w:rPr>
        <w:t>提交响应文件截止时间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响应文件有效期不足的将被视为无效响应。</w:t>
      </w:r>
    </w:p>
    <w:p w14:paraId="13952494">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.响应文件的签署及规定</w:t>
      </w:r>
    </w:p>
    <w:p w14:paraId="2C135D4F">
      <w:pPr>
        <w:pStyle w:val="13"/>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w:t>
      </w:r>
      <w:r>
        <w:rPr>
          <w:rFonts w:hint="eastAsia" w:hAnsi="宋体"/>
          <w:color w:val="auto"/>
          <w:highlight w:val="none"/>
          <w:lang w:val="en-US" w:eastAsia="zh-CN"/>
        </w:rPr>
        <w:t>1</w:t>
      </w:r>
      <w:r>
        <w:rPr>
          <w:rFonts w:hint="eastAsia" w:hAnsi="宋体"/>
          <w:color w:val="auto"/>
          <w:highlight w:val="none"/>
        </w:rPr>
        <w:t xml:space="preserve"> 响应文件应按采购文件要求签章处盖单位章和由法定代表人或其委托代理人签字；任何加行、涂改、增删，应有法定代表人或其委托代理人在旁边签字。否则，将导致响应文件无效。</w:t>
      </w:r>
    </w:p>
    <w:p w14:paraId="397939BB">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四、响应文件的递交</w:t>
      </w:r>
    </w:p>
    <w:p w14:paraId="5C13D59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的密封和标记</w:t>
      </w:r>
    </w:p>
    <w:p w14:paraId="7D06A4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.1响应文件</w:t>
      </w:r>
      <w:r>
        <w:rPr>
          <w:rFonts w:hint="eastAsia" w:hAnsi="宋体"/>
          <w:color w:val="auto"/>
          <w:highlight w:val="none"/>
          <w:lang w:eastAsia="zh-CN"/>
        </w:rPr>
        <w:t>每一页都需要</w:t>
      </w:r>
      <w:r>
        <w:rPr>
          <w:rFonts w:hint="eastAsia" w:hAnsi="宋体"/>
          <w:color w:val="auto"/>
          <w:highlight w:val="none"/>
        </w:rPr>
        <w:t>盖供应商单位章</w:t>
      </w:r>
      <w:r>
        <w:rPr>
          <w:rFonts w:hint="eastAsia" w:hAnsi="宋体"/>
          <w:color w:val="auto"/>
          <w:highlight w:val="none"/>
          <w:lang w:eastAsia="zh-CN"/>
        </w:rPr>
        <w:t>，需要</w:t>
      </w:r>
      <w:r>
        <w:rPr>
          <w:rFonts w:hint="eastAsia" w:hAnsi="宋体"/>
          <w:color w:val="auto"/>
          <w:highlight w:val="none"/>
        </w:rPr>
        <w:t>由法定代表人或其委托代理人签字</w:t>
      </w:r>
      <w:r>
        <w:rPr>
          <w:rFonts w:hint="eastAsia" w:hAnsi="宋体"/>
          <w:color w:val="auto"/>
          <w:highlight w:val="none"/>
          <w:lang w:eastAsia="zh-CN"/>
        </w:rPr>
        <w:t>的位置必须签字盖章</w:t>
      </w:r>
      <w:r>
        <w:rPr>
          <w:rFonts w:hint="eastAsia" w:hAnsi="宋体"/>
          <w:color w:val="auto"/>
          <w:highlight w:val="none"/>
        </w:rPr>
        <w:t>。</w:t>
      </w:r>
      <w:r>
        <w:rPr>
          <w:rFonts w:hint="eastAsia" w:ascii="宋体" w:hAnsi="宋体" w:cs="宋体"/>
          <w:color w:val="auto"/>
          <w:szCs w:val="21"/>
          <w:highlight w:val="none"/>
        </w:rPr>
        <w:t>如果未按规定</w:t>
      </w:r>
      <w:r>
        <w:rPr>
          <w:rFonts w:hint="eastAsia" w:ascii="宋体" w:hAnsi="宋体" w:cs="宋体"/>
          <w:color w:val="auto"/>
          <w:szCs w:val="21"/>
          <w:highlight w:val="none"/>
          <w:lang w:eastAsia="zh-CN"/>
        </w:rPr>
        <w:t>要求进行密封和标记</w:t>
      </w:r>
      <w:r>
        <w:rPr>
          <w:rFonts w:hint="eastAsia" w:ascii="宋体" w:hAnsi="宋体" w:cs="宋体"/>
          <w:color w:val="auto"/>
          <w:szCs w:val="21"/>
          <w:highlight w:val="none"/>
        </w:rPr>
        <w:t>，采购人将拒绝接收</w:t>
      </w:r>
      <w:r>
        <w:rPr>
          <w:rFonts w:hint="eastAsia" w:ascii="宋体" w:hAnsi="宋体"/>
          <w:color w:val="auto"/>
          <w:szCs w:val="21"/>
          <w:highlight w:val="none"/>
        </w:rPr>
        <w:t>。</w:t>
      </w:r>
    </w:p>
    <w:p w14:paraId="029AA2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.2响应文件</w:t>
      </w:r>
      <w:r>
        <w:rPr>
          <w:rFonts w:hint="eastAsia" w:ascii="宋体" w:hAnsi="宋体"/>
          <w:color w:val="auto"/>
          <w:szCs w:val="21"/>
          <w:highlight w:val="none"/>
          <w:lang w:val="en-US" w:eastAsia="zh-CN"/>
        </w:rPr>
        <w:t>需有公司名称及相关投标项目的名称</w:t>
      </w:r>
      <w:r>
        <w:rPr>
          <w:rFonts w:hint="eastAsia" w:ascii="宋体" w:hAnsi="宋体"/>
          <w:b/>
          <w:color w:val="auto"/>
          <w:szCs w:val="21"/>
          <w:highlight w:val="none"/>
        </w:rPr>
        <w:t>。</w:t>
      </w:r>
    </w:p>
    <w:p w14:paraId="49B54FC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.响应文件的</w:t>
      </w:r>
      <w:r>
        <w:rPr>
          <w:rFonts w:hint="eastAsia" w:ascii="宋体" w:hAnsi="宋体" w:cs="宋体"/>
          <w:b/>
          <w:color w:val="auto"/>
          <w:kern w:val="0"/>
          <w:szCs w:val="21"/>
          <w:highlight w:val="none"/>
          <w:lang w:val="zh-CN"/>
        </w:rPr>
        <w:t>补充、修改或者撤回</w:t>
      </w:r>
    </w:p>
    <w:p w14:paraId="044FF9C1">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.1</w:t>
      </w:r>
      <w:r>
        <w:rPr>
          <w:rFonts w:hint="eastAsia" w:hAnsi="宋体" w:cs="宋体"/>
          <w:color w:val="auto"/>
          <w:kern w:val="0"/>
          <w:highlight w:val="none"/>
        </w:rPr>
        <w:t>供应商在</w:t>
      </w:r>
      <w:r>
        <w:rPr>
          <w:rFonts w:hint="eastAsia" w:hAnsi="宋体"/>
          <w:color w:val="auto"/>
          <w:highlight w:val="none"/>
        </w:rPr>
        <w:t>本章第</w:t>
      </w:r>
      <w:r>
        <w:rPr>
          <w:rFonts w:hint="eastAsia" w:hAnsi="宋体"/>
          <w:color w:val="auto"/>
          <w:highlight w:val="none"/>
          <w:lang w:val="en-US" w:eastAsia="zh-CN"/>
        </w:rPr>
        <w:t>6</w:t>
      </w:r>
      <w:r>
        <w:rPr>
          <w:rFonts w:hint="eastAsia" w:hAnsi="宋体"/>
          <w:color w:val="auto"/>
          <w:highlight w:val="none"/>
        </w:rPr>
        <w:t>.1</w:t>
      </w:r>
      <w:r>
        <w:rPr>
          <w:rFonts w:hint="eastAsia" w:hAnsi="宋体" w:cs="宋体"/>
          <w:color w:val="auto"/>
          <w:kern w:val="0"/>
          <w:highlight w:val="none"/>
          <w:lang w:val="zh-CN"/>
        </w:rPr>
        <w:t>款</w:t>
      </w:r>
      <w:r>
        <w:rPr>
          <w:rFonts w:hint="eastAsia" w:hAnsi="宋体"/>
          <w:color w:val="auto"/>
          <w:highlight w:val="none"/>
        </w:rPr>
        <w:t>规定的</w:t>
      </w:r>
      <w:r>
        <w:rPr>
          <w:rFonts w:hint="eastAsia" w:hAnsi="宋体" w:cs="宋体"/>
          <w:color w:val="auto"/>
          <w:kern w:val="0"/>
          <w:highlight w:val="none"/>
        </w:rPr>
        <w:t>提交响应文件截止时间前，可以对所提交的响应文件进行补充、修改或者撤回，并书面通知采购人。</w:t>
      </w:r>
      <w:r>
        <w:rPr>
          <w:rFonts w:hint="eastAsia" w:hAnsi="宋体"/>
          <w:color w:val="auto"/>
          <w:highlight w:val="none"/>
        </w:rPr>
        <w:t>该通知应有供应商法定代表人或其委托代理人签字。</w:t>
      </w:r>
    </w:p>
    <w:p w14:paraId="674A4EF2">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.2</w:t>
      </w:r>
      <w:r>
        <w:rPr>
          <w:rFonts w:hint="eastAsia" w:hAnsi="宋体" w:cs="宋体"/>
          <w:color w:val="auto"/>
          <w:kern w:val="0"/>
          <w:highlight w:val="none"/>
          <w:lang w:val="zh-CN"/>
        </w:rPr>
        <w:t>补充、修改的内容与响应文件不一致时，以补充、修改的内容为准。</w:t>
      </w:r>
    </w:p>
    <w:p w14:paraId="413F326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14</w:t>
      </w:r>
      <w:r>
        <w:rPr>
          <w:rFonts w:hint="eastAsia" w:ascii="宋体" w:hAnsi="宋体"/>
          <w:b/>
          <w:bCs/>
          <w:color w:val="auto"/>
          <w:szCs w:val="21"/>
          <w:highlight w:val="none"/>
        </w:rPr>
        <w:t>.响应文件的递交与接收</w:t>
      </w:r>
    </w:p>
    <w:p w14:paraId="31D403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14</w:t>
      </w:r>
      <w:r>
        <w:rPr>
          <w:rFonts w:hint="eastAsia" w:ascii="宋体" w:hAnsi="宋体"/>
          <w:color w:val="auto"/>
          <w:szCs w:val="21"/>
          <w:highlight w:val="none"/>
        </w:rPr>
        <w:t>.1 供应商应在</w:t>
      </w:r>
      <w:r>
        <w:rPr>
          <w:rFonts w:hint="eastAsia" w:hAnsi="宋体"/>
          <w:color w:val="auto"/>
          <w:highlight w:val="none"/>
        </w:rPr>
        <w:t>本章第</w:t>
      </w:r>
      <w:r>
        <w:rPr>
          <w:rFonts w:hint="eastAsia" w:ascii="宋体" w:hAnsi="宋体"/>
          <w:color w:val="auto"/>
          <w:highlight w:val="none"/>
          <w:lang w:val="en-US" w:eastAsia="zh-CN"/>
        </w:rPr>
        <w:t>6</w:t>
      </w:r>
      <w:r>
        <w:rPr>
          <w:rFonts w:hint="eastAsia" w:ascii="宋体" w:hAnsi="宋体"/>
          <w:color w:val="auto"/>
          <w:highlight w:val="none"/>
        </w:rPr>
        <w:t>.1</w:t>
      </w:r>
      <w:r>
        <w:rPr>
          <w:rFonts w:hint="eastAsia" w:ascii="宋体" w:hAnsi="宋体" w:cs="宋体"/>
          <w:color w:val="auto"/>
          <w:kern w:val="0"/>
          <w:szCs w:val="21"/>
          <w:highlight w:val="none"/>
          <w:lang w:val="zh-CN"/>
        </w:rPr>
        <w:t>款</w:t>
      </w:r>
      <w:r>
        <w:rPr>
          <w:rFonts w:hint="eastAsia" w:hAnsi="宋体"/>
          <w:color w:val="auto"/>
          <w:highlight w:val="none"/>
        </w:rPr>
        <w:t>规定的</w:t>
      </w:r>
      <w:r>
        <w:rPr>
          <w:rFonts w:hint="eastAsia" w:ascii="宋体" w:hAnsi="宋体" w:cs="宋体"/>
          <w:color w:val="auto"/>
          <w:kern w:val="0"/>
          <w:szCs w:val="21"/>
          <w:highlight w:val="none"/>
        </w:rPr>
        <w:t>提交响应文件截止时间</w:t>
      </w:r>
      <w:r>
        <w:rPr>
          <w:rFonts w:hint="eastAsia" w:ascii="宋体" w:hAnsi="宋体"/>
          <w:color w:val="auto"/>
          <w:szCs w:val="21"/>
          <w:highlight w:val="none"/>
        </w:rPr>
        <w:t>前，将响应文件</w:t>
      </w:r>
      <w:r>
        <w:rPr>
          <w:rFonts w:hint="eastAsia" w:ascii="宋体" w:hAnsi="宋体"/>
          <w:color w:val="auto"/>
          <w:szCs w:val="21"/>
          <w:highlight w:val="none"/>
          <w:lang w:eastAsia="zh-CN"/>
        </w:rPr>
        <w:t>递交至</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中指定的</w:t>
      </w:r>
      <w:r>
        <w:rPr>
          <w:rFonts w:hint="eastAsia" w:ascii="宋体" w:hAnsi="宋体"/>
          <w:color w:val="auto"/>
          <w:szCs w:val="21"/>
          <w:highlight w:val="none"/>
          <w:lang w:eastAsia="zh-CN"/>
        </w:rPr>
        <w:t>地点</w:t>
      </w:r>
      <w:r>
        <w:rPr>
          <w:rFonts w:hint="eastAsia" w:ascii="宋体" w:hAnsi="宋体"/>
          <w:color w:val="auto"/>
          <w:szCs w:val="21"/>
          <w:highlight w:val="none"/>
        </w:rPr>
        <w:t>。</w:t>
      </w:r>
      <w:r>
        <w:rPr>
          <w:rFonts w:hint="eastAsia" w:hAnsi="宋体" w:cs="宋体"/>
          <w:color w:val="auto"/>
          <w:kern w:val="0"/>
          <w:highlight w:val="none"/>
        </w:rPr>
        <w:t>在</w:t>
      </w:r>
      <w:r>
        <w:rPr>
          <w:rFonts w:hint="eastAsia" w:hAnsi="宋体" w:cs="宋体"/>
          <w:color w:val="auto"/>
          <w:kern w:val="0"/>
          <w:highlight w:val="none"/>
        </w:rPr>
        <w:t>截止时间后送达的响应文件，采购人应当拒收</w:t>
      </w:r>
      <w:r>
        <w:rPr>
          <w:rFonts w:hint="eastAsia" w:hAnsi="宋体" w:cs="宋体"/>
          <w:color w:val="auto"/>
          <w:kern w:val="0"/>
          <w:highlight w:val="none"/>
        </w:rPr>
        <w:t>。</w:t>
      </w:r>
    </w:p>
    <w:p w14:paraId="35A06C4D">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五、开标和评审</w:t>
      </w:r>
    </w:p>
    <w:p w14:paraId="230D71A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.开标</w:t>
      </w:r>
    </w:p>
    <w:p w14:paraId="2272D3CE">
      <w:pPr>
        <w:tabs>
          <w:tab w:val="left" w:pos="570"/>
          <w:tab w:val="left" w:pos="7560"/>
          <w:tab w:val="left" w:pos="7740"/>
          <w:tab w:val="left" w:pos="8280"/>
        </w:tabs>
        <w:spacing w:line="4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.1采购</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在提交响应文件的截止时间(开标时间)和</w:t>
      </w:r>
      <w:r>
        <w:rPr>
          <w:rFonts w:hint="eastAsia" w:ascii="宋体" w:hAnsi="宋体" w:cs="宋体"/>
          <w:color w:val="auto"/>
          <w:szCs w:val="21"/>
          <w:highlight w:val="none"/>
          <w:lang w:eastAsia="zh-CN"/>
        </w:rPr>
        <w:t>招采系统将自动进行</w:t>
      </w:r>
      <w:r>
        <w:rPr>
          <w:rFonts w:hint="eastAsia" w:ascii="宋体" w:hAnsi="宋体" w:cs="宋体"/>
          <w:color w:val="auto"/>
          <w:szCs w:val="21"/>
          <w:highlight w:val="none"/>
        </w:rPr>
        <w:t>开标。</w:t>
      </w:r>
      <w:r>
        <w:rPr>
          <w:rFonts w:hint="eastAsia" w:ascii="宋体" w:hAnsi="宋体" w:cs="宋体"/>
          <w:b/>
          <w:bCs/>
          <w:color w:val="auto"/>
          <w:szCs w:val="21"/>
          <w:highlight w:val="none"/>
        </w:rPr>
        <w:t>参加开标的供应商代表应持法定代表人授权书和本人身份证原件（法定代表人参加开标的应持法定代表人证明及身份证原件）签名以证明其出席，否则，视为无效响应。</w:t>
      </w:r>
    </w:p>
    <w:p w14:paraId="37E14E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 xml:space="preserve">.2 </w:t>
      </w:r>
      <w:r>
        <w:rPr>
          <w:rFonts w:hint="eastAsia" w:ascii="宋体" w:hAnsi="宋体" w:cs="宋体"/>
          <w:color w:val="auto"/>
          <w:szCs w:val="21"/>
          <w:highlight w:val="none"/>
          <w:lang w:eastAsia="zh-CN"/>
        </w:rPr>
        <w:t>在采购人选定中标方式为最低价中标时，评审小组会根据所有投标文件进行比对，最后由专家组选定投标报价为最低价的供应商中标，且</w:t>
      </w:r>
      <w:r>
        <w:rPr>
          <w:rFonts w:hint="eastAsia" w:ascii="宋体" w:hAnsi="宋体" w:cs="宋体"/>
          <w:color w:val="auto"/>
          <w:szCs w:val="21"/>
          <w:highlight w:val="none"/>
        </w:rPr>
        <w:t>记录在案。</w:t>
      </w:r>
    </w:p>
    <w:p w14:paraId="647E3FE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.评审小组</w:t>
      </w:r>
    </w:p>
    <w:p w14:paraId="7F46F2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.1</w:t>
      </w:r>
      <w:r>
        <w:rPr>
          <w:rFonts w:hint="eastAsia" w:ascii="宋体" w:hAnsi="宋体" w:cs="宋体"/>
          <w:color w:val="auto"/>
          <w:szCs w:val="21"/>
          <w:highlight w:val="none"/>
          <w:lang w:eastAsia="zh-CN"/>
        </w:rPr>
        <w:t>评审小组由集团专家库</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公司相关专业人员摇号组成评审小组。受支部纪检委员监督。</w:t>
      </w:r>
    </w:p>
    <w:p w14:paraId="07658C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评审小组负责具体评标事务，并独立履行下列职责：</w:t>
      </w:r>
    </w:p>
    <w:p w14:paraId="02B54D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（1）审查、评价响应文件是否符合采购文件的商务、技术等实质性要求；</w:t>
      </w:r>
    </w:p>
    <w:p w14:paraId="2522ACE3">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（2）要求供应商对响应文件有关事项作出澄清或者说明；</w:t>
      </w:r>
    </w:p>
    <w:p w14:paraId="519DA779">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（3）对响应文件进行比较和评价；</w:t>
      </w:r>
    </w:p>
    <w:p w14:paraId="0BCA9A0C">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（4）确定成交候选人名单，以及根据采购人委托直接确定成交供应商；</w:t>
      </w:r>
    </w:p>
    <w:p w14:paraId="3666B4B3">
      <w:pPr>
        <w:keepNext w:val="0"/>
        <w:keepLines w:val="0"/>
        <w:pageBreakBefore w:val="0"/>
        <w:kinsoku/>
        <w:wordWrap/>
        <w:overflowPunct/>
        <w:topLinePunct w:val="0"/>
        <w:autoSpaceDE/>
        <w:bidi w:val="0"/>
        <w:spacing w:line="360" w:lineRule="auto"/>
        <w:ind w:firstLine="420" w:firstLineChars="200"/>
        <w:jc w:val="left"/>
        <w:textAlignment w:val="auto"/>
        <w:rPr>
          <w:color w:val="auto"/>
          <w:highlight w:val="none"/>
        </w:rPr>
      </w:pPr>
      <w:r>
        <w:rPr>
          <w:rFonts w:hint="eastAsia" w:ascii="宋体" w:hAnsi="宋体" w:cs="宋体"/>
          <w:color w:val="auto"/>
          <w:highlight w:val="none"/>
        </w:rPr>
        <w:t>（5）向采购人或者有关部门报告评审中发现的违法行为。</w:t>
      </w:r>
    </w:p>
    <w:p w14:paraId="75F4A745">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Ansi="宋体" w:cs="宋体"/>
          <w:b/>
          <w:bCs/>
          <w:color w:val="auto"/>
          <w:highlight w:val="none"/>
        </w:rPr>
      </w:pPr>
      <w:r>
        <w:rPr>
          <w:rFonts w:hint="eastAsia" w:hAnsi="宋体" w:cs="宋体"/>
          <w:b/>
          <w:bCs/>
          <w:color w:val="auto"/>
          <w:highlight w:val="none"/>
          <w:lang w:val="en-US" w:eastAsia="zh-CN"/>
        </w:rPr>
        <w:t>17</w:t>
      </w:r>
      <w:r>
        <w:rPr>
          <w:rFonts w:hint="eastAsia" w:hAnsi="宋体" w:cs="宋体"/>
          <w:b/>
          <w:bCs/>
          <w:color w:val="auto"/>
          <w:highlight w:val="none"/>
        </w:rPr>
        <w:t>.评审</w:t>
      </w:r>
    </w:p>
    <w:p w14:paraId="78ED01EA">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olor w:val="auto"/>
          <w:highlight w:val="none"/>
        </w:rPr>
      </w:pPr>
      <w:r>
        <w:rPr>
          <w:rFonts w:hint="eastAsia" w:hAnsi="宋体" w:cs="宋体"/>
          <w:color w:val="auto"/>
          <w:highlight w:val="none"/>
          <w:lang w:val="en-US" w:eastAsia="zh-CN"/>
        </w:rPr>
        <w:t>17</w:t>
      </w:r>
      <w:r>
        <w:rPr>
          <w:rFonts w:hint="eastAsia" w:hAnsi="宋体" w:cs="宋体"/>
          <w:color w:val="auto"/>
          <w:highlight w:val="none"/>
        </w:rPr>
        <w:t>.1 评审小组按照</w:t>
      </w:r>
      <w:r>
        <w:rPr>
          <w:rFonts w:hint="eastAsia" w:hAnsi="宋体" w:cs="宋体"/>
          <w:bCs/>
          <w:color w:val="auto"/>
          <w:highlight w:val="none"/>
        </w:rPr>
        <w:t>第</w:t>
      </w:r>
      <w:r>
        <w:rPr>
          <w:rFonts w:hint="eastAsia" w:hAnsi="宋体" w:cs="宋体"/>
          <w:bCs/>
          <w:color w:val="auto"/>
          <w:highlight w:val="none"/>
          <w:lang w:eastAsia="zh-CN"/>
        </w:rPr>
        <w:t>三</w:t>
      </w:r>
      <w:r>
        <w:rPr>
          <w:rFonts w:hint="eastAsia" w:hAnsi="宋体" w:cs="宋体"/>
          <w:bCs/>
          <w:color w:val="auto"/>
          <w:highlight w:val="none"/>
        </w:rPr>
        <w:t>章“评审办法”</w:t>
      </w:r>
      <w:r>
        <w:rPr>
          <w:rFonts w:hint="eastAsia" w:hAnsi="宋体" w:cs="宋体"/>
          <w:color w:val="auto"/>
          <w:highlight w:val="none"/>
        </w:rPr>
        <w:t xml:space="preserve"> 规定的评审方法、评审因素、标准和程序以及有关法律、法规及规章对响应文件进行评审。</w:t>
      </w:r>
    </w:p>
    <w:p w14:paraId="1423383B">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六、成交结果信息公布</w:t>
      </w:r>
    </w:p>
    <w:p w14:paraId="4284AE9B">
      <w:pPr>
        <w:keepNext w:val="0"/>
        <w:keepLines w:val="0"/>
        <w:pageBreakBefore w:val="0"/>
        <w:widowControl w:val="0"/>
        <w:kinsoku/>
        <w:wordWrap/>
        <w:overflowPunct/>
        <w:topLinePunct w:val="0"/>
        <w:autoSpaceDE/>
        <w:bidi w:val="0"/>
        <w:spacing w:line="360" w:lineRule="auto"/>
        <w:ind w:firstLine="422" w:firstLineChars="200"/>
        <w:jc w:val="left"/>
        <w:textAlignment w:val="auto"/>
        <w:rPr>
          <w:rFonts w:ascii="宋体" w:hAnsi="宋体" w:cs="宋体"/>
          <w:color w:val="auto"/>
          <w:szCs w:val="21"/>
          <w:highlight w:val="none"/>
        </w:rPr>
      </w:pP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.成交信息公布</w:t>
      </w:r>
    </w:p>
    <w:p w14:paraId="77CBAA4A">
      <w:pPr>
        <w:keepNext w:val="0"/>
        <w:keepLines w:val="0"/>
        <w:pageBreakBefore w:val="0"/>
        <w:widowControl w:val="0"/>
        <w:kinsoku/>
        <w:wordWrap/>
        <w:overflowPunct/>
        <w:topLinePunct w:val="0"/>
        <w:autoSpaceDE/>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采购人在评审报告确定的成交候选人名单中按顺序确定成交供应商。</w:t>
      </w:r>
    </w:p>
    <w:p w14:paraId="48B54EFE">
      <w:pPr>
        <w:keepNext w:val="0"/>
        <w:keepLines w:val="0"/>
        <w:pageBreakBefore w:val="0"/>
        <w:widowControl w:val="0"/>
        <w:kinsoku/>
        <w:wordWrap/>
        <w:overflowPunct/>
        <w:topLinePunct w:val="0"/>
        <w:autoSpaceDE/>
        <w:bidi w:val="0"/>
        <w:spacing w:line="360" w:lineRule="auto"/>
        <w:ind w:firstLine="420" w:firstLineChars="200"/>
        <w:jc w:val="left"/>
        <w:textAlignment w:val="auto"/>
        <w:rPr>
          <w:rFonts w:ascii="宋体" w:hAnsi="宋体"/>
          <w:b/>
          <w:bCs/>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应当自确定成交供应商之日起2日内，发出成交通知书。</w:t>
      </w:r>
    </w:p>
    <w:p w14:paraId="12D94C56">
      <w:pPr>
        <w:keepNext w:val="0"/>
        <w:keepLines w:val="0"/>
        <w:pageBreakBefore w:val="0"/>
        <w:widowControl w:val="0"/>
        <w:kinsoku/>
        <w:wordWrap/>
        <w:overflowPunct/>
        <w:topLinePunct w:val="0"/>
        <w:autoSpaceDE/>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19</w:t>
      </w:r>
      <w:r>
        <w:rPr>
          <w:rFonts w:hint="eastAsia" w:ascii="宋体" w:hAnsi="宋体"/>
          <w:b/>
          <w:bCs/>
          <w:color w:val="auto"/>
          <w:szCs w:val="21"/>
          <w:highlight w:val="none"/>
        </w:rPr>
        <w:t>.成交结果确认和成交通知</w:t>
      </w:r>
    </w:p>
    <w:p w14:paraId="7C9DD258">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19</w:t>
      </w:r>
      <w:r>
        <w:rPr>
          <w:rFonts w:hint="eastAsia" w:hAnsi="宋体"/>
          <w:color w:val="auto"/>
          <w:highlight w:val="none"/>
        </w:rPr>
        <w:t>.1采购人应当在本章第1</w:t>
      </w:r>
      <w:r>
        <w:rPr>
          <w:rFonts w:hint="eastAsia" w:hAnsi="宋体"/>
          <w:color w:val="auto"/>
          <w:highlight w:val="none"/>
          <w:lang w:val="en-US" w:eastAsia="zh-CN"/>
        </w:rPr>
        <w:t>0</w:t>
      </w:r>
      <w:r>
        <w:rPr>
          <w:rFonts w:hint="eastAsia" w:hAnsi="宋体"/>
          <w:color w:val="auto"/>
          <w:highlight w:val="none"/>
        </w:rPr>
        <w:t>.1款规定的响应文件有效期内，并以书面形式向成交供应商发出成交通知书。成交通知书对采购人和成交供应商具有同等法律效力。</w:t>
      </w:r>
    </w:p>
    <w:p w14:paraId="361210B9">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int="eastAsia" w:hAnsi="宋体"/>
          <w:color w:val="auto"/>
          <w:highlight w:val="none"/>
        </w:rPr>
      </w:pPr>
      <w:r>
        <w:rPr>
          <w:rFonts w:hint="eastAsia" w:hAnsi="宋体"/>
          <w:color w:val="auto"/>
          <w:highlight w:val="none"/>
          <w:lang w:val="en-US" w:eastAsia="zh-CN"/>
        </w:rPr>
        <w:t>19</w:t>
      </w:r>
      <w:r>
        <w:rPr>
          <w:rFonts w:hint="eastAsia" w:hAnsi="宋体"/>
          <w:color w:val="auto"/>
          <w:highlight w:val="none"/>
        </w:rPr>
        <w:t>.2 成交通知书是合同文件的组成部分。</w:t>
      </w:r>
    </w:p>
    <w:p w14:paraId="409D74F9">
      <w:pPr>
        <w:keepNext w:val="0"/>
        <w:keepLines w:val="0"/>
        <w:pageBreakBefore w:val="0"/>
        <w:widowControl w:val="0"/>
        <w:tabs>
          <w:tab w:val="left" w:pos="7560"/>
          <w:tab w:val="left" w:pos="7740"/>
          <w:tab w:val="left" w:pos="7920"/>
        </w:tabs>
        <w:kinsoku/>
        <w:wordWrap/>
        <w:overflowPunct/>
        <w:topLinePunct w:val="0"/>
        <w:autoSpaceDE/>
        <w:autoSpaceDN w:val="0"/>
        <w:bidi w:val="0"/>
        <w:adjustRightInd w:val="0"/>
        <w:snapToGrid w:val="0"/>
        <w:spacing w:line="360" w:lineRule="auto"/>
        <w:ind w:firstLine="420" w:firstLineChars="200"/>
        <w:textAlignment w:val="auto"/>
        <w:rPr>
          <w:rFonts w:hint="eastAsia" w:hAnsi="宋体"/>
          <w:color w:val="auto"/>
          <w:highlight w:val="none"/>
        </w:rPr>
      </w:pP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rPr>
        <w:t xml:space="preserve">.3 </w:t>
      </w:r>
      <w:r>
        <w:rPr>
          <w:rFonts w:hint="eastAsia" w:ascii="宋体" w:hAnsi="宋体"/>
          <w:color w:val="auto"/>
          <w:szCs w:val="21"/>
          <w:highlight w:val="none"/>
        </w:rPr>
        <w:t>成交供应商在收到成交通知书后10日内，应按照</w:t>
      </w:r>
      <w:r>
        <w:rPr>
          <w:rFonts w:hint="eastAsia" w:ascii="宋体" w:hAnsi="宋体"/>
          <w:b/>
          <w:color w:val="auto"/>
          <w:szCs w:val="21"/>
          <w:highlight w:val="none"/>
          <w:lang w:eastAsia="zh-CN"/>
        </w:rPr>
        <w:t>竞谈须知</w:t>
      </w:r>
      <w:r>
        <w:rPr>
          <w:rFonts w:hint="eastAsia" w:ascii="宋体" w:hAnsi="宋体"/>
          <w:b/>
          <w:color w:val="auto"/>
          <w:szCs w:val="21"/>
          <w:highlight w:val="none"/>
        </w:rPr>
        <w:t>前附表</w:t>
      </w:r>
      <w:r>
        <w:rPr>
          <w:rFonts w:hint="eastAsia" w:ascii="宋体" w:hAnsi="宋体"/>
          <w:color w:val="auto"/>
          <w:szCs w:val="21"/>
          <w:highlight w:val="none"/>
        </w:rPr>
        <w:t>的规定，向采购人提交履约担保</w:t>
      </w:r>
      <w:r>
        <w:rPr>
          <w:rFonts w:hint="eastAsia" w:ascii="宋体" w:hAnsi="宋体"/>
          <w:color w:val="auto"/>
          <w:szCs w:val="21"/>
          <w:highlight w:val="none"/>
          <w:lang w:eastAsia="zh-CN"/>
        </w:rPr>
        <w:t>（如有）</w:t>
      </w:r>
      <w:r>
        <w:rPr>
          <w:rFonts w:hint="eastAsia" w:ascii="宋体" w:hAnsi="宋体"/>
          <w:color w:val="auto"/>
          <w:szCs w:val="21"/>
          <w:highlight w:val="none"/>
        </w:rPr>
        <w:t>。</w:t>
      </w:r>
    </w:p>
    <w:p w14:paraId="6EA8C940">
      <w:pPr>
        <w:keepNext w:val="0"/>
        <w:keepLines w:val="0"/>
        <w:pageBreakBefore w:val="0"/>
        <w:widowControl w:val="0"/>
        <w:kinsoku/>
        <w:wordWrap/>
        <w:overflowPunct/>
        <w:topLinePunct w:val="0"/>
        <w:autoSpaceDE/>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0</w:t>
      </w:r>
      <w:r>
        <w:rPr>
          <w:rFonts w:hint="eastAsia" w:ascii="宋体" w:hAnsi="宋体"/>
          <w:b/>
          <w:bCs/>
          <w:color w:val="auto"/>
          <w:szCs w:val="21"/>
          <w:highlight w:val="none"/>
        </w:rPr>
        <w:t>.签订合同</w:t>
      </w:r>
    </w:p>
    <w:p w14:paraId="41B19F65">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.1 采购文件、成交供应商的响应文件及其补充的响应文件等均为签订采购合同的依据。</w:t>
      </w:r>
    </w:p>
    <w:p w14:paraId="31FEBFA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.2 成交供应商应当在成交通知书发出之日起</w:t>
      </w:r>
      <w:r>
        <w:rPr>
          <w:rFonts w:hint="eastAsia" w:hAnsi="宋体"/>
          <w:color w:val="auto"/>
          <w:highlight w:val="none"/>
          <w:lang w:val="en-US" w:eastAsia="zh-CN"/>
        </w:rPr>
        <w:t>10</w:t>
      </w:r>
      <w:r>
        <w:rPr>
          <w:rFonts w:hint="eastAsia" w:hAnsi="宋体"/>
          <w:color w:val="auto"/>
          <w:highlight w:val="none"/>
        </w:rPr>
        <w:t>日内与采购人签订采购合同。</w:t>
      </w:r>
    </w:p>
    <w:p w14:paraId="4792720D">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.3 成交供应商应当按照合同约定履行义务。成交供应商不得向他人转让成交项目，也不得将成交项目分包后分别向他人转让。</w:t>
      </w:r>
    </w:p>
    <w:p w14:paraId="5B110E7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.4 成交供应商有下列情形之一的，责令限期改正，情节严重的，列入不良行为记录名单，在1至3年内禁止参加采购人组织的采购活动，并予以通报：</w:t>
      </w:r>
    </w:p>
    <w:p w14:paraId="6CDE269F">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（一）成交后无正当理由不与采购人签订合同的；</w:t>
      </w:r>
    </w:p>
    <w:p w14:paraId="561D4AC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（二）未按照采购文件确定的事项签订采购合同；</w:t>
      </w:r>
    </w:p>
    <w:p w14:paraId="26A60BAD">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s="宋体"/>
          <w:color w:val="auto"/>
          <w:kern w:val="0"/>
          <w:highlight w:val="none"/>
        </w:rPr>
      </w:pPr>
      <w:r>
        <w:rPr>
          <w:rFonts w:hint="eastAsia" w:hAnsi="宋体"/>
          <w:color w:val="auto"/>
          <w:highlight w:val="none"/>
        </w:rPr>
        <w:t>（三）拒绝履行合同义务的</w:t>
      </w:r>
      <w:r>
        <w:rPr>
          <w:rFonts w:hint="eastAsia" w:hAnsi="宋体" w:cs="宋体"/>
          <w:color w:val="auto"/>
          <w:kern w:val="0"/>
          <w:highlight w:val="none"/>
        </w:rPr>
        <w:t>。</w:t>
      </w:r>
    </w:p>
    <w:p w14:paraId="58BAC37F">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七、其他规定</w:t>
      </w:r>
    </w:p>
    <w:p w14:paraId="529BB998">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22" w:firstLineChars="200"/>
        <w:textAlignment w:val="auto"/>
        <w:rPr>
          <w:rFonts w:hAnsi="宋体"/>
          <w:b/>
          <w:color w:val="auto"/>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hAnsi="宋体"/>
          <w:b/>
          <w:color w:val="auto"/>
          <w:highlight w:val="none"/>
        </w:rPr>
        <w:t>其他规定</w:t>
      </w:r>
    </w:p>
    <w:p w14:paraId="774D3F18">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20" w:firstLineChars="200"/>
        <w:textAlignment w:val="auto"/>
        <w:rPr>
          <w:rFonts w:hint="eastAsia" w:ascii="宋体" w:hAnsi="宋体"/>
          <w:color w:val="auto"/>
          <w:szCs w:val="21"/>
          <w:highlight w:val="none"/>
        </w:rPr>
        <w:sectPr>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.1采购文件的其他规定见</w:t>
      </w:r>
      <w:r>
        <w:rPr>
          <w:rFonts w:hint="eastAsia" w:ascii="宋体" w:hAnsi="宋体"/>
          <w:b/>
          <w:bCs/>
          <w:color w:val="auto"/>
          <w:szCs w:val="21"/>
          <w:highlight w:val="none"/>
          <w:lang w:eastAsia="zh-CN"/>
        </w:rPr>
        <w:t>竞谈须知</w:t>
      </w:r>
      <w:r>
        <w:rPr>
          <w:rFonts w:hint="eastAsia" w:ascii="宋体" w:hAnsi="宋体"/>
          <w:b/>
          <w:bCs/>
          <w:color w:val="auto"/>
          <w:szCs w:val="21"/>
          <w:highlight w:val="none"/>
        </w:rPr>
        <w:t>前附表</w:t>
      </w:r>
      <w:r>
        <w:rPr>
          <w:rFonts w:hint="eastAsia" w:ascii="宋体" w:hAnsi="宋体"/>
          <w:color w:val="auto"/>
          <w:szCs w:val="21"/>
          <w:highlight w:val="none"/>
        </w:rPr>
        <w:t>。</w:t>
      </w:r>
    </w:p>
    <w:p w14:paraId="0AE69DE7">
      <w:pPr>
        <w:jc w:val="center"/>
        <w:rPr>
          <w:rFonts w:ascii="黑体" w:eastAsia="黑体"/>
          <w:b/>
          <w:bCs/>
          <w:color w:val="auto"/>
          <w:sz w:val="28"/>
          <w:szCs w:val="28"/>
          <w:highlight w:val="none"/>
        </w:rPr>
      </w:pPr>
      <w:r>
        <w:rPr>
          <w:rFonts w:hint="eastAsia" w:ascii="宋体" w:hAnsi="宋体" w:cs="宋体"/>
          <w:b/>
          <w:bCs/>
          <w:color w:val="auto"/>
          <w:sz w:val="32"/>
          <w:szCs w:val="32"/>
          <w:highlight w:val="none"/>
        </w:rPr>
        <w:t>第三章  评审办法</w:t>
      </w:r>
    </w:p>
    <w:p w14:paraId="0C4A0E1E">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bCs/>
          <w:color w:val="auto"/>
          <w:szCs w:val="21"/>
          <w:highlight w:val="none"/>
        </w:rPr>
        <w:t xml:space="preserve">一. </w:t>
      </w:r>
      <w:r>
        <w:rPr>
          <w:rFonts w:hint="eastAsia" w:ascii="宋体" w:hAnsi="宋体"/>
          <w:b/>
          <w:color w:val="auto"/>
          <w:szCs w:val="21"/>
          <w:highlight w:val="none"/>
        </w:rPr>
        <w:t>总则</w:t>
      </w:r>
    </w:p>
    <w:p w14:paraId="27352012">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color w:val="auto"/>
          <w:szCs w:val="21"/>
          <w:highlight w:val="none"/>
        </w:rPr>
        <w:t>1.1评审小组</w:t>
      </w:r>
    </w:p>
    <w:p w14:paraId="4123F21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1.1.1</w:t>
      </w:r>
      <w:r>
        <w:rPr>
          <w:rFonts w:hint="eastAsia" w:ascii="宋体" w:hAnsi="宋体" w:cs="宋体"/>
          <w:color w:val="auto"/>
          <w:szCs w:val="21"/>
          <w:highlight w:val="none"/>
        </w:rPr>
        <w:t>评审工作由采购人依法组建的评审小组负责</w:t>
      </w:r>
      <w:r>
        <w:rPr>
          <w:rFonts w:hint="eastAsia" w:ascii="宋体" w:hAnsi="宋体" w:cs="宋体"/>
          <w:color w:val="auto"/>
          <w:szCs w:val="21"/>
          <w:highlight w:val="none"/>
          <w:lang w:eastAsia="zh-CN"/>
        </w:rPr>
        <w:t>，评审小组由集团专家库，公司相关专业人员摇号组成评审小组。受纪检</w:t>
      </w:r>
      <w:r>
        <w:rPr>
          <w:rFonts w:hint="eastAsia" w:ascii="宋体" w:hAnsi="宋体" w:cs="宋体"/>
          <w:color w:val="auto"/>
          <w:szCs w:val="21"/>
          <w:highlight w:val="none"/>
          <w:lang w:val="en-US" w:eastAsia="zh-CN"/>
        </w:rPr>
        <w:t>部门</w:t>
      </w:r>
      <w:r>
        <w:rPr>
          <w:rFonts w:hint="eastAsia" w:ascii="宋体" w:hAnsi="宋体" w:cs="宋体"/>
          <w:color w:val="auto"/>
          <w:szCs w:val="21"/>
          <w:highlight w:val="none"/>
          <w:lang w:eastAsia="zh-CN"/>
        </w:rPr>
        <w:t>监督。</w:t>
      </w:r>
    </w:p>
    <w:p w14:paraId="570B32F4">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bCs/>
          <w:color w:val="auto"/>
          <w:szCs w:val="21"/>
          <w:highlight w:val="none"/>
        </w:rPr>
        <w:t xml:space="preserve">1.2 </w:t>
      </w:r>
      <w:r>
        <w:rPr>
          <w:rFonts w:hint="eastAsia" w:ascii="宋体" w:hAnsi="宋体"/>
          <w:b/>
          <w:color w:val="auto"/>
          <w:szCs w:val="21"/>
          <w:highlight w:val="none"/>
        </w:rPr>
        <w:t>评审方法</w:t>
      </w:r>
    </w:p>
    <w:p w14:paraId="7E8B9EC6">
      <w:pPr>
        <w:keepNext w:val="0"/>
        <w:keepLines w:val="0"/>
        <w:pageBreakBefore w:val="0"/>
        <w:kinsoku/>
        <w:wordWrap/>
        <w:overflowPunct/>
        <w:topLinePunct w:val="0"/>
        <w:autoSpaceDE/>
        <w:autoSpaceDN/>
        <w:bidi w:val="0"/>
        <w:adjustRightInd w:val="0"/>
        <w:snapToGrid w:val="0"/>
        <w:spacing w:line="360" w:lineRule="auto"/>
        <w:ind w:right="0" w:rightChars="0" w:firstLine="422" w:firstLineChars="200"/>
        <w:textAlignment w:val="auto"/>
        <w:rPr>
          <w:rFonts w:ascii="宋体" w:hAnsi="宋体" w:cs="宋体"/>
          <w:color w:val="auto"/>
          <w:szCs w:val="21"/>
          <w:highlight w:val="none"/>
        </w:rPr>
      </w:pPr>
      <w:r>
        <w:rPr>
          <w:rFonts w:hint="eastAsia" w:ascii="宋体" w:hAnsi="宋体"/>
          <w:b/>
          <w:bCs/>
          <w:color w:val="auto"/>
          <w:szCs w:val="21"/>
          <w:highlight w:val="none"/>
        </w:rPr>
        <w:t>1.2.1评审方法：</w:t>
      </w:r>
      <w:r>
        <w:rPr>
          <w:rFonts w:hint="eastAsia" w:ascii="宋体" w:hAnsi="宋体"/>
          <w:b/>
          <w:bCs/>
          <w:color w:val="auto"/>
          <w:szCs w:val="21"/>
          <w:highlight w:val="none"/>
          <w:lang w:eastAsia="zh-CN"/>
        </w:rPr>
        <w:t>最低投标</w:t>
      </w:r>
      <w:r>
        <w:rPr>
          <w:rFonts w:hint="eastAsia" w:ascii="宋体" w:hAnsi="宋体"/>
          <w:b/>
          <w:bCs/>
          <w:color w:val="auto"/>
          <w:szCs w:val="21"/>
          <w:highlight w:val="none"/>
        </w:rPr>
        <w:t>价法，</w:t>
      </w:r>
      <w:r>
        <w:rPr>
          <w:rFonts w:hint="eastAsia" w:ascii="宋体" w:hAnsi="宋体" w:cs="宋体"/>
          <w:b/>
          <w:bCs/>
          <w:color w:val="auto"/>
          <w:szCs w:val="21"/>
          <w:highlight w:val="none"/>
        </w:rPr>
        <w:t>指响应文件满足</w:t>
      </w:r>
      <w:r>
        <w:rPr>
          <w:rFonts w:hint="eastAsia" w:ascii="宋体" w:hAnsi="宋体" w:cs="宋体"/>
          <w:b/>
          <w:bCs/>
          <w:color w:val="auto"/>
          <w:szCs w:val="21"/>
          <w:highlight w:val="none"/>
          <w:lang w:eastAsia="zh-CN"/>
        </w:rPr>
        <w:t>采购</w:t>
      </w:r>
      <w:r>
        <w:rPr>
          <w:rFonts w:hint="eastAsia" w:ascii="宋体" w:hAnsi="宋体" w:cs="宋体"/>
          <w:b/>
          <w:bCs/>
          <w:color w:val="auto"/>
          <w:szCs w:val="21"/>
          <w:highlight w:val="none"/>
        </w:rPr>
        <w:t>文件全部实质性要求，且报价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含二次报价</w:t>
      </w:r>
      <w:r>
        <w:rPr>
          <w:rFonts w:hint="eastAsia" w:ascii="宋体" w:hAnsi="宋体" w:cs="宋体"/>
          <w:b/>
          <w:bCs/>
          <w:color w:val="auto"/>
          <w:szCs w:val="21"/>
          <w:highlight w:val="none"/>
          <w:lang w:eastAsia="zh-CN"/>
        </w:rPr>
        <w:t>）最低</w:t>
      </w:r>
      <w:r>
        <w:rPr>
          <w:rFonts w:hint="eastAsia" w:ascii="宋体" w:hAnsi="宋体" w:cs="宋体"/>
          <w:b/>
          <w:bCs/>
          <w:color w:val="auto"/>
          <w:szCs w:val="21"/>
          <w:highlight w:val="none"/>
        </w:rPr>
        <w:t>的</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为成交</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候选人的评审方法</w:t>
      </w:r>
      <w:r>
        <w:rPr>
          <w:rFonts w:hint="eastAsia" w:ascii="宋体" w:hAnsi="宋体" w:cs="宋体"/>
          <w:color w:val="auto"/>
          <w:szCs w:val="21"/>
          <w:highlight w:val="none"/>
        </w:rPr>
        <w:t>。</w:t>
      </w:r>
    </w:p>
    <w:p w14:paraId="2AC49703">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textAlignment w:val="auto"/>
        <w:rPr>
          <w:rFonts w:ascii="宋体" w:hAnsi="宋体"/>
          <w:b/>
          <w:color w:val="auto"/>
          <w:kern w:val="0"/>
          <w:szCs w:val="21"/>
          <w:highlight w:val="none"/>
        </w:rPr>
      </w:pPr>
      <w:r>
        <w:rPr>
          <w:rFonts w:hint="eastAsia" w:ascii="宋体" w:hAnsi="宋体"/>
          <w:b/>
          <w:color w:val="auto"/>
          <w:kern w:val="0"/>
          <w:szCs w:val="21"/>
          <w:highlight w:val="none"/>
        </w:rPr>
        <w:t>二. 评标程序</w:t>
      </w:r>
    </w:p>
    <w:p w14:paraId="6F0CAB41">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
          <w:color w:val="auto"/>
          <w:szCs w:val="21"/>
          <w:highlight w:val="none"/>
        </w:rPr>
      </w:pPr>
      <w:r>
        <w:rPr>
          <w:rFonts w:hint="eastAsia" w:ascii="宋体" w:hAnsi="宋体"/>
          <w:color w:val="auto"/>
          <w:kern w:val="0"/>
          <w:szCs w:val="21"/>
          <w:highlight w:val="none"/>
        </w:rPr>
        <w:t>评标程序分为响应文件初审、比较和评价、推荐成交供应商候选人名单</w:t>
      </w:r>
      <w:r>
        <w:rPr>
          <w:rFonts w:hint="eastAsia" w:ascii="宋体" w:hAnsi="宋体"/>
          <w:b/>
          <w:color w:val="auto"/>
          <w:szCs w:val="21"/>
          <w:highlight w:val="none"/>
        </w:rPr>
        <w:t>。</w:t>
      </w:r>
    </w:p>
    <w:p w14:paraId="1BCB2B04">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bCs/>
          <w:color w:val="auto"/>
          <w:szCs w:val="21"/>
          <w:highlight w:val="none"/>
        </w:rPr>
      </w:pPr>
      <w:r>
        <w:rPr>
          <w:rFonts w:hint="eastAsia" w:ascii="宋体" w:hAnsi="宋体"/>
          <w:b/>
          <w:bCs/>
          <w:color w:val="auto"/>
          <w:szCs w:val="21"/>
          <w:highlight w:val="none"/>
        </w:rPr>
        <w:t>2.1 响应文件的初步</w:t>
      </w:r>
      <w:r>
        <w:rPr>
          <w:rFonts w:hint="eastAsia" w:ascii="宋体" w:hAnsi="宋体"/>
          <w:b/>
          <w:color w:val="auto"/>
          <w:szCs w:val="21"/>
          <w:highlight w:val="none"/>
        </w:rPr>
        <w:t>评审</w:t>
      </w:r>
    </w:p>
    <w:p w14:paraId="7AA4032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bCs/>
          <w:color w:val="auto"/>
          <w:szCs w:val="21"/>
          <w:highlight w:val="none"/>
        </w:rPr>
        <w:t>2.1.1初步</w:t>
      </w:r>
      <w:r>
        <w:rPr>
          <w:rFonts w:hint="eastAsia" w:ascii="宋体" w:hAnsi="宋体"/>
          <w:color w:val="auto"/>
          <w:szCs w:val="21"/>
          <w:highlight w:val="none"/>
        </w:rPr>
        <w:t>评审分为资格性检查和符合性检查。</w:t>
      </w:r>
    </w:p>
    <w:p w14:paraId="32CC506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 资格性检查。根据法律法规和采购文件的规定，对响应文件中的资格证明等进行审查，以确定供应商是否具备投标资格。</w:t>
      </w:r>
    </w:p>
    <w:p w14:paraId="6960F4B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 符合性检查。依据采购文件的规定，从响应文件的有效性、完整性和对采购文件的响应程度进行审查，以确定是否对采购文件的实质性要求作出响应。评审小组</w:t>
      </w:r>
      <w:r>
        <w:rPr>
          <w:rFonts w:hint="eastAsia"/>
          <w:color w:val="auto"/>
          <w:szCs w:val="21"/>
          <w:highlight w:val="none"/>
        </w:rPr>
        <w:t>决定响应</w:t>
      </w:r>
      <w:r>
        <w:rPr>
          <w:rFonts w:hint="eastAsia" w:ascii="宋体" w:hAnsi="宋体"/>
          <w:color w:val="auto"/>
          <w:szCs w:val="21"/>
          <w:highlight w:val="none"/>
        </w:rPr>
        <w:t>文件</w:t>
      </w:r>
      <w:r>
        <w:rPr>
          <w:rFonts w:hint="eastAsia"/>
          <w:color w:val="auto"/>
          <w:szCs w:val="21"/>
          <w:highlight w:val="none"/>
        </w:rPr>
        <w:t>的响应性只根据响应</w:t>
      </w:r>
      <w:r>
        <w:rPr>
          <w:rFonts w:hint="eastAsia" w:ascii="宋体" w:hAnsi="宋体"/>
          <w:color w:val="auto"/>
          <w:szCs w:val="21"/>
          <w:highlight w:val="none"/>
        </w:rPr>
        <w:t>文件</w:t>
      </w:r>
      <w:r>
        <w:rPr>
          <w:rFonts w:hint="eastAsia"/>
          <w:color w:val="auto"/>
          <w:szCs w:val="21"/>
          <w:highlight w:val="none"/>
        </w:rPr>
        <w:t>真实无误的内容，而不依据外部的证据，但响应</w:t>
      </w:r>
      <w:r>
        <w:rPr>
          <w:rFonts w:hint="eastAsia" w:ascii="宋体" w:hAnsi="宋体"/>
          <w:color w:val="auto"/>
          <w:szCs w:val="21"/>
          <w:highlight w:val="none"/>
        </w:rPr>
        <w:t>文件</w:t>
      </w:r>
      <w:r>
        <w:rPr>
          <w:rFonts w:hint="eastAsia"/>
          <w:color w:val="auto"/>
          <w:szCs w:val="21"/>
          <w:highlight w:val="none"/>
        </w:rPr>
        <w:t>有不真实、不正确的内容时除外。</w:t>
      </w:r>
    </w:p>
    <w:p w14:paraId="332B337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(3)供应商</w:t>
      </w:r>
      <w:r>
        <w:rPr>
          <w:rFonts w:hint="eastAsia"/>
          <w:color w:val="auto"/>
          <w:szCs w:val="21"/>
          <w:highlight w:val="none"/>
        </w:rPr>
        <w:t>不得通过修正或撤销不合要求的偏离从而使其投标成为实质上响应的投标。</w:t>
      </w:r>
    </w:p>
    <w:p w14:paraId="721A3E9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2.1.2 响应文件属下列情况之一的，应当在资格性、符合性检查时按照无效响应处理，无效响应的情况同时在</w:t>
      </w:r>
      <w:r>
        <w:rPr>
          <w:rFonts w:hint="eastAsia" w:ascii="宋体" w:hAnsi="宋体"/>
          <w:b/>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集中列示：</w:t>
      </w:r>
    </w:p>
    <w:p w14:paraId="1F47B3F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）未按照采购文件规定要求密封、签署、盖章的；</w:t>
      </w:r>
    </w:p>
    <w:p w14:paraId="56E114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）不具备第二章“供应商须知”第3.1</w:t>
      </w:r>
      <w:r>
        <w:rPr>
          <w:rFonts w:hint="eastAsia" w:ascii="宋体" w:hAnsi="宋体"/>
          <w:color w:val="auto"/>
          <w:szCs w:val="21"/>
          <w:highlight w:val="none"/>
          <w:lang w:val="zh-CN"/>
        </w:rPr>
        <w:t>款</w:t>
      </w:r>
      <w:r>
        <w:rPr>
          <w:rFonts w:hint="eastAsia" w:ascii="宋体" w:hAnsi="宋体"/>
          <w:color w:val="auto"/>
          <w:szCs w:val="21"/>
          <w:highlight w:val="none"/>
        </w:rPr>
        <w:t>规定的供应商资格要求的；</w:t>
      </w:r>
    </w:p>
    <w:p w14:paraId="3124C4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）不满足实质性要求的；</w:t>
      </w:r>
    </w:p>
    <w:p w14:paraId="2EBA3E0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）投标报价超过采购项目采购预算</w:t>
      </w:r>
      <w:r>
        <w:rPr>
          <w:rFonts w:hint="eastAsia" w:ascii="宋体" w:hAnsi="宋体"/>
          <w:color w:val="auto"/>
          <w:szCs w:val="21"/>
          <w:highlight w:val="none"/>
          <w:lang w:eastAsia="zh-CN"/>
        </w:rPr>
        <w:t>的</w:t>
      </w:r>
      <w:r>
        <w:rPr>
          <w:rFonts w:hint="eastAsia" w:ascii="宋体" w:hAnsi="宋体"/>
          <w:color w:val="auto"/>
          <w:szCs w:val="21"/>
          <w:highlight w:val="none"/>
        </w:rPr>
        <w:t>；</w:t>
      </w:r>
    </w:p>
    <w:p w14:paraId="0946F9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）同一供应商提交两个以上不同的响应文件或者投标报价的；</w:t>
      </w:r>
    </w:p>
    <w:p w14:paraId="7A19844A">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）响应文件载明的投标范围小于采购文件规定的采购范围的(缺漏采购文件所要求的内容)；</w:t>
      </w:r>
    </w:p>
    <w:p w14:paraId="4AB6287E">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）响应文件有效期不足的；</w:t>
      </w:r>
    </w:p>
    <w:p w14:paraId="4B39AA5B">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）不符合法律、法规和采购文件规定的。</w:t>
      </w:r>
    </w:p>
    <w:p w14:paraId="60E447D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2.1.3 有下列情形之一时，评审小组应予废标，并将理由通知所有供应商。废标的情形同时在</w:t>
      </w:r>
      <w:r>
        <w:rPr>
          <w:rFonts w:hint="eastAsia" w:ascii="宋体" w:hAnsi="宋体"/>
          <w:b/>
          <w:bCs/>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集中列示：</w:t>
      </w:r>
    </w:p>
    <w:p w14:paraId="530DBA14">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（1）出现影响采购公正的违法、违规行为的；</w:t>
      </w:r>
    </w:p>
    <w:p w14:paraId="146A56E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（2）供应商的报价均超过了采购预算；</w:t>
      </w:r>
    </w:p>
    <w:p w14:paraId="0B6EE864">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（3）评审过程中，合格供应商仅有一家；</w:t>
      </w:r>
    </w:p>
    <w:p w14:paraId="6A475CC0">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（4）因重大变故，采购任务取消的。</w:t>
      </w:r>
    </w:p>
    <w:p w14:paraId="3DABC1E2">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2.1.4除</w:t>
      </w:r>
      <w:r>
        <w:rPr>
          <w:rFonts w:hint="eastAsia" w:ascii="宋体" w:hAnsi="宋体"/>
          <w:b/>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另有规定外</w:t>
      </w:r>
      <w:r>
        <w:rPr>
          <w:rFonts w:hint="eastAsia" w:ascii="宋体" w:hAnsi="宋体"/>
          <w:b/>
          <w:color w:val="auto"/>
          <w:szCs w:val="21"/>
          <w:highlight w:val="none"/>
        </w:rPr>
        <w:t>，</w:t>
      </w:r>
      <w:r>
        <w:rPr>
          <w:rFonts w:hint="eastAsia" w:ascii="宋体" w:hAnsi="宋体"/>
          <w:color w:val="auto"/>
          <w:szCs w:val="21"/>
          <w:highlight w:val="none"/>
        </w:rPr>
        <w:t>多家代理商参加同一品牌同一型号产品投标的，在统计供应商数量时，作为一个供应商计算。</w:t>
      </w:r>
    </w:p>
    <w:p w14:paraId="377A5659">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Cs/>
          <w:color w:val="auto"/>
          <w:szCs w:val="21"/>
          <w:highlight w:val="none"/>
        </w:rPr>
      </w:pPr>
      <w:r>
        <w:rPr>
          <w:rFonts w:hint="eastAsia" w:ascii="宋体" w:hAnsi="宋体"/>
          <w:b/>
          <w:bCs/>
          <w:color w:val="auto"/>
          <w:szCs w:val="21"/>
          <w:highlight w:val="none"/>
        </w:rPr>
        <w:t>2.2澄清有关问题</w:t>
      </w:r>
    </w:p>
    <w:p w14:paraId="3C591B2E">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2.2.1 对响应文件中含义不明确、同类问题表述不一致或者有明显文字和计算错误的内容，评审小组将以书面形式通知供应商作出必要的澄清、说明，但不得超出响应文件的范围或对响应文件做实质性的修改（计算错误修正除外）。评审小组不接受供应商主动提出的澄清、说明。</w:t>
      </w:r>
    </w:p>
    <w:p w14:paraId="650E2223">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2.2.2供应商不得对下列内容</w:t>
      </w:r>
      <w:r>
        <w:rPr>
          <w:rFonts w:hint="eastAsia" w:ascii="宋体" w:hAnsi="宋体"/>
          <w:bCs/>
          <w:color w:val="auto"/>
          <w:szCs w:val="21"/>
          <w:highlight w:val="none"/>
        </w:rPr>
        <w:t>其进行澄清或补充：</w:t>
      </w:r>
    </w:p>
    <w:p w14:paraId="0C1DAF9F">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（1）开标时，</w:t>
      </w:r>
      <w:r>
        <w:rPr>
          <w:rFonts w:hint="eastAsia" w:ascii="宋体" w:hAnsi="宋体"/>
          <w:bCs/>
          <w:color w:val="auto"/>
          <w:szCs w:val="21"/>
          <w:highlight w:val="none"/>
        </w:rPr>
        <w:t>未宣读的投标价格。</w:t>
      </w:r>
    </w:p>
    <w:p w14:paraId="3823AF2C">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（2）不满足实质性要求的</w:t>
      </w:r>
      <w:r>
        <w:rPr>
          <w:rFonts w:hint="eastAsia" w:ascii="宋体" w:hAnsi="宋体"/>
          <w:bCs/>
          <w:color w:val="auto"/>
          <w:szCs w:val="21"/>
          <w:highlight w:val="none"/>
        </w:rPr>
        <w:t>响应文件内容</w:t>
      </w:r>
      <w:r>
        <w:rPr>
          <w:rFonts w:hint="eastAsia" w:ascii="宋体" w:hAnsi="宋体"/>
          <w:color w:val="auto"/>
          <w:szCs w:val="21"/>
          <w:highlight w:val="none"/>
        </w:rPr>
        <w:t>，</w:t>
      </w:r>
    </w:p>
    <w:p w14:paraId="57B176D5">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2.2.3 计算错误将按以下方法修正：如果响应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供应商拒绝接受上述修正，在评审时将其视为无效响应。</w:t>
      </w:r>
    </w:p>
    <w:p w14:paraId="41D82914">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textAlignment w:val="auto"/>
        <w:rPr>
          <w:rFonts w:ascii="宋体" w:hAnsi="宋体"/>
          <w:b/>
          <w:bCs/>
          <w:color w:val="auto"/>
          <w:szCs w:val="21"/>
          <w:highlight w:val="none"/>
        </w:rPr>
      </w:pPr>
      <w:r>
        <w:rPr>
          <w:rFonts w:hint="eastAsia" w:ascii="宋体" w:hAnsi="宋体"/>
          <w:b/>
          <w:bCs/>
          <w:color w:val="auto"/>
          <w:szCs w:val="21"/>
          <w:highlight w:val="none"/>
        </w:rPr>
        <w:t>2.3 比较与评价</w:t>
      </w:r>
    </w:p>
    <w:p w14:paraId="2C47041A">
      <w:pPr>
        <w:keepNext w:val="0"/>
        <w:keepLines w:val="0"/>
        <w:pageBreakBefore w:val="0"/>
        <w:widowControl/>
        <w:kinsoku/>
        <w:wordWrap/>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2.3.1评审小组应当从质量和服务均能满足</w:t>
      </w:r>
      <w:r>
        <w:rPr>
          <w:rFonts w:hint="eastAsia" w:ascii="宋体" w:hAnsi="宋体"/>
          <w:bCs/>
          <w:color w:val="auto"/>
          <w:szCs w:val="21"/>
          <w:highlight w:val="none"/>
          <w:lang w:eastAsia="zh-CN"/>
        </w:rPr>
        <w:t>采购文件</w:t>
      </w:r>
      <w:r>
        <w:rPr>
          <w:rFonts w:hint="eastAsia" w:ascii="宋体" w:hAnsi="宋体"/>
          <w:bCs/>
          <w:color w:val="auto"/>
          <w:szCs w:val="21"/>
          <w:highlight w:val="none"/>
        </w:rPr>
        <w:t>实质性响应要求的</w:t>
      </w:r>
      <w:r>
        <w:rPr>
          <w:rFonts w:hint="eastAsia" w:ascii="宋体" w:hAnsi="宋体"/>
          <w:bCs/>
          <w:color w:val="auto"/>
          <w:szCs w:val="21"/>
          <w:highlight w:val="none"/>
          <w:lang w:eastAsia="zh-CN"/>
        </w:rPr>
        <w:t>供应商</w:t>
      </w:r>
      <w:r>
        <w:rPr>
          <w:rFonts w:hint="eastAsia" w:ascii="宋体" w:hAnsi="宋体"/>
          <w:bCs/>
          <w:color w:val="auto"/>
          <w:szCs w:val="21"/>
          <w:highlight w:val="none"/>
        </w:rPr>
        <w:t>中，按照报价由低到高的顺序提出3名以上成交候选人，并编写评审报告。</w:t>
      </w:r>
    </w:p>
    <w:p w14:paraId="06E29AB2">
      <w:pPr>
        <w:keepNext w:val="0"/>
        <w:keepLines w:val="0"/>
        <w:pageBreakBefore w:val="0"/>
        <w:widowControl/>
        <w:kinsoku/>
        <w:wordWrap/>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2.3.2如评审小组认为</w:t>
      </w:r>
      <w:r>
        <w:rPr>
          <w:rFonts w:hint="eastAsia" w:ascii="宋体" w:hAnsi="宋体"/>
          <w:bCs/>
          <w:color w:val="auto"/>
          <w:szCs w:val="21"/>
          <w:highlight w:val="none"/>
        </w:rPr>
        <w:t>所有报价均显著高于市场合理水平或缺乏有效竞争</w:t>
      </w:r>
      <w:r>
        <w:rPr>
          <w:rFonts w:hint="eastAsia" w:ascii="宋体" w:hAnsi="宋体"/>
          <w:bCs/>
          <w:color w:val="auto"/>
          <w:szCs w:val="21"/>
          <w:highlight w:val="none"/>
          <w:lang w:val="en-US" w:eastAsia="zh-CN"/>
        </w:rPr>
        <w:t>,可</w:t>
      </w:r>
      <w:r>
        <w:rPr>
          <w:rFonts w:hint="eastAsia" w:ascii="宋体" w:hAnsi="宋体"/>
          <w:bCs/>
          <w:color w:val="auto"/>
          <w:szCs w:val="21"/>
          <w:highlight w:val="none"/>
        </w:rPr>
        <w:t>否决所有投标或建重新招标</w:t>
      </w:r>
      <w:r>
        <w:rPr>
          <w:rFonts w:hint="eastAsia" w:ascii="宋体" w:hAnsi="宋体"/>
          <w:bCs/>
          <w:color w:val="auto"/>
          <w:szCs w:val="21"/>
          <w:highlight w:val="none"/>
          <w:lang w:eastAsia="zh-CN"/>
        </w:rPr>
        <w:t>。</w:t>
      </w:r>
    </w:p>
    <w:p w14:paraId="4F07737E">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084FFB1E">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64AB7097">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4622ED70">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3C09E96D">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0B2EC37A">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1A5E7539">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4EE7857B">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23ED2183">
      <w:pPr>
        <w:pStyle w:val="13"/>
        <w:adjustRightInd w:val="0"/>
        <w:snapToGrid w:val="0"/>
        <w:spacing w:beforeLines="50" w:afterLines="50" w:line="360" w:lineRule="auto"/>
        <w:jc w:val="center"/>
        <w:rPr>
          <w:rStyle w:val="28"/>
          <w:rFonts w:hAnsi="宋体" w:cs="宋体"/>
          <w:color w:val="auto"/>
          <w:sz w:val="32"/>
          <w:szCs w:val="32"/>
          <w:highlight w:val="none"/>
        </w:rPr>
      </w:pPr>
      <w:r>
        <w:rPr>
          <w:rStyle w:val="28"/>
          <w:rFonts w:hint="eastAsia" w:hAnsi="宋体" w:cs="宋体"/>
          <w:color w:val="auto"/>
          <w:sz w:val="32"/>
          <w:szCs w:val="32"/>
          <w:highlight w:val="none"/>
        </w:rPr>
        <w:t>第</w:t>
      </w:r>
      <w:r>
        <w:rPr>
          <w:rStyle w:val="28"/>
          <w:rFonts w:hint="eastAsia" w:hAnsi="宋体" w:cs="宋体"/>
          <w:color w:val="auto"/>
          <w:sz w:val="32"/>
          <w:szCs w:val="32"/>
          <w:highlight w:val="none"/>
          <w:lang w:eastAsia="zh-CN"/>
        </w:rPr>
        <w:t>四</w:t>
      </w:r>
      <w:r>
        <w:rPr>
          <w:rStyle w:val="28"/>
          <w:rFonts w:hint="eastAsia" w:hAnsi="宋体" w:cs="宋体"/>
          <w:color w:val="auto"/>
          <w:sz w:val="32"/>
          <w:szCs w:val="32"/>
          <w:highlight w:val="none"/>
        </w:rPr>
        <w:t>章 采购需求</w:t>
      </w:r>
    </w:p>
    <w:p w14:paraId="78CC13F7">
      <w:pPr>
        <w:spacing w:line="360" w:lineRule="auto"/>
        <w:rPr>
          <w:b/>
          <w:bCs/>
          <w:color w:val="auto"/>
          <w:highlight w:val="none"/>
        </w:rPr>
      </w:pPr>
      <w:r>
        <w:rPr>
          <w:rFonts w:hint="eastAsia"/>
          <w:b/>
          <w:bCs/>
          <w:color w:val="auto"/>
          <w:highlight w:val="none"/>
        </w:rPr>
        <w:t>一、项目概述：</w:t>
      </w:r>
    </w:p>
    <w:p w14:paraId="0DA3BA3E">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1、项目名称：株洲北斗应用与信息技术产业示范基地配套基础设施项目（一期）钢筋材料采购</w:t>
      </w:r>
    </w:p>
    <w:p w14:paraId="2E55D641">
      <w:pPr>
        <w:pStyle w:val="2"/>
        <w:ind w:left="0" w:leftChars="0" w:firstLine="42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2、采购人：株洲市云龙发展集团城市建设有限公司</w:t>
      </w:r>
    </w:p>
    <w:p w14:paraId="54BD7C80">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2、项目地址：株洲市经开区，西侧为菖塘路，北侧为兴园路，南侧为创业路。</w:t>
      </w:r>
    </w:p>
    <w:p w14:paraId="78796ED1">
      <w:pPr>
        <w:keepNext w:val="0"/>
        <w:keepLines w:val="0"/>
        <w:pageBreakBefore w:val="0"/>
        <w:widowControl w:val="0"/>
        <w:kinsoku/>
        <w:wordWrap/>
        <w:overflowPunct/>
        <w:topLinePunct w:val="0"/>
        <w:autoSpaceDE/>
        <w:autoSpaceDN/>
        <w:bidi w:val="0"/>
        <w:snapToGrid/>
        <w:spacing w:line="360" w:lineRule="auto"/>
        <w:ind w:right="0" w:rightChars="0"/>
        <w:jc w:val="left"/>
        <w:textAlignment w:val="auto"/>
        <w:rPr>
          <w:rFonts w:hint="eastAsia"/>
          <w:b/>
          <w:bCs/>
          <w:color w:val="auto"/>
          <w:highlight w:val="none"/>
          <w:lang w:eastAsia="zh-CN"/>
        </w:rPr>
      </w:pPr>
      <w:r>
        <w:rPr>
          <w:rFonts w:hint="eastAsia"/>
          <w:b/>
          <w:bCs/>
          <w:color w:val="auto"/>
          <w:highlight w:val="none"/>
          <w:lang w:eastAsia="zh-CN"/>
        </w:rPr>
        <w:t>二、采购方式：</w:t>
      </w:r>
    </w:p>
    <w:p w14:paraId="1464F962">
      <w:pPr>
        <w:pStyle w:val="2"/>
        <w:ind w:left="0" w:lef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b/>
          <w:bCs/>
          <w:color w:val="auto"/>
          <w:highlight w:val="none"/>
          <w:lang w:val="en-US" w:eastAsia="zh-CN"/>
        </w:rPr>
        <w:t xml:space="preserve">   </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cs="Times New Roman"/>
          <w:color w:val="auto"/>
          <w:kern w:val="2"/>
          <w:sz w:val="21"/>
          <w:szCs w:val="24"/>
          <w:highlight w:val="none"/>
          <w:lang w:val="en-US" w:eastAsia="zh-CN" w:bidi="ar-SA"/>
        </w:rPr>
        <w:t>竞谈采购。</w:t>
      </w:r>
    </w:p>
    <w:p w14:paraId="324690E5">
      <w:pPr>
        <w:keepNext w:val="0"/>
        <w:keepLines w:val="0"/>
        <w:pageBreakBefore w:val="0"/>
        <w:widowControl w:val="0"/>
        <w:kinsoku/>
        <w:wordWrap/>
        <w:overflowPunct/>
        <w:topLinePunct w:val="0"/>
        <w:autoSpaceDE/>
        <w:autoSpaceDN/>
        <w:bidi w:val="0"/>
        <w:snapToGrid/>
        <w:spacing w:line="360" w:lineRule="auto"/>
        <w:ind w:right="0" w:rightChars="0"/>
        <w:jc w:val="left"/>
        <w:textAlignment w:val="auto"/>
        <w:rPr>
          <w:rFonts w:hint="eastAsia"/>
          <w:b/>
          <w:bCs/>
          <w:color w:val="auto"/>
          <w:highlight w:val="none"/>
        </w:rPr>
      </w:pPr>
      <w:r>
        <w:rPr>
          <w:rFonts w:hint="eastAsia"/>
          <w:b/>
          <w:bCs/>
          <w:color w:val="auto"/>
          <w:highlight w:val="none"/>
          <w:lang w:eastAsia="zh-CN"/>
        </w:rPr>
        <w:t>三</w:t>
      </w:r>
      <w:r>
        <w:rPr>
          <w:rFonts w:hint="eastAsia"/>
          <w:b/>
          <w:bCs/>
          <w:color w:val="auto"/>
          <w:highlight w:val="none"/>
        </w:rPr>
        <w:t>、</w:t>
      </w:r>
      <w:r>
        <w:rPr>
          <w:rFonts w:hint="eastAsia" w:ascii="宋体" w:hAnsi="宋体" w:cs="宋体"/>
          <w:b/>
          <w:color w:val="auto"/>
          <w:highlight w:val="none"/>
          <w:lang w:eastAsia="zh-CN"/>
        </w:rPr>
        <w:t>采</w:t>
      </w:r>
      <w:r>
        <w:rPr>
          <w:rFonts w:hint="eastAsia" w:ascii="宋体" w:hAnsi="宋体" w:eastAsia="宋体" w:cs="宋体"/>
          <w:b/>
          <w:color w:val="auto"/>
          <w:highlight w:val="none"/>
          <w:lang w:eastAsia="zh-CN"/>
        </w:rPr>
        <w:t>购内容</w:t>
      </w:r>
      <w:r>
        <w:rPr>
          <w:rFonts w:hint="default" w:ascii="宋体" w:hAnsi="宋体" w:eastAsia="宋体" w:cs="宋体"/>
          <w:b/>
          <w:color w:val="auto"/>
          <w:highlight w:val="none"/>
          <w:lang w:val="en-US" w:eastAsia="zh-CN"/>
        </w:rPr>
        <w:t>及清单</w:t>
      </w:r>
      <w:r>
        <w:rPr>
          <w:rFonts w:hint="eastAsia"/>
          <w:b/>
          <w:bCs/>
          <w:color w:val="auto"/>
          <w:highlight w:val="none"/>
        </w:rPr>
        <w:t>：</w:t>
      </w:r>
    </w:p>
    <w:p w14:paraId="40CC9C73">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采购范围： 项目建设所需全部钢筋。</w:t>
      </w:r>
    </w:p>
    <w:p w14:paraId="6CD3BE37">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参考清单（仅列规格，数量按实结算）</w:t>
      </w:r>
    </w:p>
    <w:tbl>
      <w:tblPr>
        <w:tblStyle w:val="19"/>
        <w:tblW w:w="7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2712"/>
        <w:gridCol w:w="875"/>
        <w:gridCol w:w="1259"/>
        <w:gridCol w:w="1354"/>
        <w:gridCol w:w="1183"/>
      </w:tblGrid>
      <w:tr w14:paraId="6C78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1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3D3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名称</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规格</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D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96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暂定</w:t>
            </w:r>
            <w:r>
              <w:rPr>
                <w:rFonts w:hint="eastAsia" w:ascii="宋体" w:hAnsi="宋体" w:eastAsia="宋体" w:cs="宋体"/>
                <w:i w:val="0"/>
                <w:iCs w:val="0"/>
                <w:color w:val="auto"/>
                <w:kern w:val="0"/>
                <w:sz w:val="20"/>
                <w:szCs w:val="20"/>
                <w:highlight w:val="none"/>
                <w:u w:val="none"/>
                <w:lang w:val="en-US" w:eastAsia="zh-CN" w:bidi="ar"/>
              </w:rPr>
              <w:t>工程量</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948C">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税率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2021">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报价</w:t>
            </w:r>
          </w:p>
        </w:tc>
      </w:tr>
      <w:tr w14:paraId="42A1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95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87C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圆钢6</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6A1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0C8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1.372</w:t>
            </w:r>
          </w:p>
        </w:tc>
        <w:tc>
          <w:tcPr>
            <w:tcW w:w="1354" w:type="dxa"/>
            <w:vMerge w:val="restart"/>
            <w:tcBorders>
              <w:top w:val="single" w:color="000000" w:sz="4" w:space="0"/>
              <w:left w:val="single" w:color="000000" w:sz="4" w:space="0"/>
              <w:right w:val="single" w:color="000000" w:sz="4" w:space="0"/>
            </w:tcBorders>
            <w:shd w:val="clear" w:color="auto" w:fill="FFFFFF"/>
            <w:noWrap/>
            <w:vAlign w:val="center"/>
          </w:tcPr>
          <w:p w14:paraId="348FD7D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13%</w:t>
            </w:r>
          </w:p>
        </w:tc>
        <w:tc>
          <w:tcPr>
            <w:tcW w:w="1183" w:type="dxa"/>
            <w:vMerge w:val="restart"/>
            <w:tcBorders>
              <w:top w:val="single" w:color="000000" w:sz="4" w:space="0"/>
              <w:left w:val="single" w:color="000000" w:sz="4" w:space="0"/>
              <w:right w:val="single" w:color="000000" w:sz="4" w:space="0"/>
            </w:tcBorders>
            <w:shd w:val="clear" w:color="auto" w:fill="FFFFFF"/>
            <w:noWrap/>
            <w:vAlign w:val="center"/>
          </w:tcPr>
          <w:p w14:paraId="342707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0B7B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0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16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圆钢8</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1C4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D32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19.085</w:t>
            </w:r>
          </w:p>
        </w:tc>
        <w:tc>
          <w:tcPr>
            <w:tcW w:w="1354" w:type="dxa"/>
            <w:vMerge w:val="continue"/>
            <w:tcBorders>
              <w:left w:val="single" w:color="000000" w:sz="4" w:space="0"/>
              <w:right w:val="single" w:color="000000" w:sz="4" w:space="0"/>
            </w:tcBorders>
            <w:shd w:val="clear" w:color="auto" w:fill="FFFFFF"/>
            <w:noWrap/>
            <w:vAlign w:val="center"/>
          </w:tcPr>
          <w:p w14:paraId="196881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158EC1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475D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2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6A2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φ8</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ED1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0AA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29.589</w:t>
            </w:r>
          </w:p>
        </w:tc>
        <w:tc>
          <w:tcPr>
            <w:tcW w:w="1354" w:type="dxa"/>
            <w:vMerge w:val="continue"/>
            <w:tcBorders>
              <w:left w:val="single" w:color="000000" w:sz="4" w:space="0"/>
              <w:right w:val="single" w:color="000000" w:sz="4" w:space="0"/>
            </w:tcBorders>
            <w:shd w:val="clear" w:color="auto" w:fill="FFFFFF"/>
            <w:noWrap/>
            <w:vAlign w:val="center"/>
          </w:tcPr>
          <w:p w14:paraId="1570FF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3972F8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878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91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E5A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φ10</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734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624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39.767</w:t>
            </w:r>
          </w:p>
        </w:tc>
        <w:tc>
          <w:tcPr>
            <w:tcW w:w="1354" w:type="dxa"/>
            <w:vMerge w:val="continue"/>
            <w:tcBorders>
              <w:left w:val="single" w:color="000000" w:sz="4" w:space="0"/>
              <w:right w:val="single" w:color="000000" w:sz="4" w:space="0"/>
            </w:tcBorders>
            <w:shd w:val="clear" w:color="auto" w:fill="FFFFFF"/>
            <w:noWrap/>
            <w:vAlign w:val="center"/>
          </w:tcPr>
          <w:p w14:paraId="0ED3BD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1CEAAB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F75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FA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B7D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Φ12</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DFA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A4E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45.875</w:t>
            </w:r>
          </w:p>
        </w:tc>
        <w:tc>
          <w:tcPr>
            <w:tcW w:w="1354" w:type="dxa"/>
            <w:vMerge w:val="continue"/>
            <w:tcBorders>
              <w:left w:val="single" w:color="000000" w:sz="4" w:space="0"/>
              <w:right w:val="single" w:color="000000" w:sz="4" w:space="0"/>
            </w:tcBorders>
            <w:shd w:val="clear" w:color="auto" w:fill="FFFFFF"/>
            <w:noWrap/>
            <w:vAlign w:val="center"/>
          </w:tcPr>
          <w:p w14:paraId="51580D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2F31C1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B6F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E8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7FB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Φ14</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4307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F7A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50.383</w:t>
            </w:r>
          </w:p>
        </w:tc>
        <w:tc>
          <w:tcPr>
            <w:tcW w:w="1354" w:type="dxa"/>
            <w:vMerge w:val="continue"/>
            <w:tcBorders>
              <w:left w:val="single" w:color="000000" w:sz="4" w:space="0"/>
              <w:right w:val="single" w:color="000000" w:sz="4" w:space="0"/>
            </w:tcBorders>
            <w:shd w:val="clear" w:color="auto" w:fill="FFFFFF"/>
            <w:noWrap/>
            <w:vAlign w:val="center"/>
          </w:tcPr>
          <w:p w14:paraId="5F3E2B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0A76F7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620B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6C32">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6E0E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螺纹钢筋 HRB400E Φ16</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1357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7B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23.948</w:t>
            </w:r>
          </w:p>
        </w:tc>
        <w:tc>
          <w:tcPr>
            <w:tcW w:w="1354" w:type="dxa"/>
            <w:vMerge w:val="continue"/>
            <w:tcBorders>
              <w:left w:val="single" w:color="000000" w:sz="4" w:space="0"/>
              <w:right w:val="single" w:color="000000" w:sz="4" w:space="0"/>
            </w:tcBorders>
            <w:shd w:val="clear" w:color="auto" w:fill="FFFFFF"/>
            <w:noWrap/>
            <w:vAlign w:val="center"/>
          </w:tcPr>
          <w:p w14:paraId="277593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2465B5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4EBD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E33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AB8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螺纹钢筋 HRB400E φ18</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EEB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6E9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3.602</w:t>
            </w:r>
          </w:p>
        </w:tc>
        <w:tc>
          <w:tcPr>
            <w:tcW w:w="1354" w:type="dxa"/>
            <w:vMerge w:val="continue"/>
            <w:tcBorders>
              <w:left w:val="single" w:color="000000" w:sz="4" w:space="0"/>
              <w:right w:val="single" w:color="000000" w:sz="4" w:space="0"/>
            </w:tcBorders>
            <w:shd w:val="clear" w:color="auto" w:fill="FFFFFF"/>
            <w:noWrap/>
            <w:vAlign w:val="center"/>
          </w:tcPr>
          <w:p w14:paraId="1FE657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6C64D1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7B5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EF2A">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F8D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螺纹钢筋 HRB400E Φ20</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86BA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2717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15.10</w:t>
            </w:r>
          </w:p>
        </w:tc>
        <w:tc>
          <w:tcPr>
            <w:tcW w:w="1354" w:type="dxa"/>
            <w:vMerge w:val="continue"/>
            <w:tcBorders>
              <w:left w:val="single" w:color="000000" w:sz="4" w:space="0"/>
              <w:right w:val="single" w:color="000000" w:sz="4" w:space="0"/>
            </w:tcBorders>
            <w:shd w:val="clear" w:color="auto" w:fill="FFFFFF"/>
            <w:noWrap/>
            <w:vAlign w:val="center"/>
          </w:tcPr>
          <w:p w14:paraId="4BEAD9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71C2BD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5222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53C6">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3B7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螺纹钢筋 HRB400E φ22</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F049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B499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22.279</w:t>
            </w:r>
          </w:p>
        </w:tc>
        <w:tc>
          <w:tcPr>
            <w:tcW w:w="1354" w:type="dxa"/>
            <w:vMerge w:val="continue"/>
            <w:tcBorders>
              <w:left w:val="single" w:color="000000" w:sz="4" w:space="0"/>
              <w:right w:val="single" w:color="000000" w:sz="4" w:space="0"/>
            </w:tcBorders>
            <w:shd w:val="clear" w:color="auto" w:fill="FFFFFF"/>
            <w:noWrap/>
            <w:vAlign w:val="center"/>
          </w:tcPr>
          <w:p w14:paraId="6EF26E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70D2FB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56AB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6062">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A8D3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螺纹钢筋 HRB400E Φ25</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53D1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C7F3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80.651</w:t>
            </w:r>
          </w:p>
        </w:tc>
        <w:tc>
          <w:tcPr>
            <w:tcW w:w="1354" w:type="dxa"/>
            <w:vMerge w:val="continue"/>
            <w:tcBorders>
              <w:left w:val="single" w:color="000000" w:sz="4" w:space="0"/>
              <w:right w:val="single" w:color="000000" w:sz="4" w:space="0"/>
            </w:tcBorders>
            <w:shd w:val="clear" w:color="auto" w:fill="FFFFFF"/>
            <w:noWrap/>
            <w:vAlign w:val="center"/>
          </w:tcPr>
          <w:p w14:paraId="7F5550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72B6F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64F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6603">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A54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螺纹钢筋 HRB400E Φ28</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A0F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B46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3.713</w:t>
            </w:r>
          </w:p>
        </w:tc>
        <w:tc>
          <w:tcPr>
            <w:tcW w:w="1354" w:type="dxa"/>
            <w:vMerge w:val="continue"/>
            <w:tcBorders>
              <w:left w:val="single" w:color="000000" w:sz="4" w:space="0"/>
              <w:right w:val="single" w:color="000000" w:sz="4" w:space="0"/>
            </w:tcBorders>
            <w:shd w:val="clear" w:color="auto" w:fill="FFFFFF"/>
            <w:noWrap/>
            <w:vAlign w:val="center"/>
          </w:tcPr>
          <w:p w14:paraId="72C532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7E3849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568C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D230">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13</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B53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圆钢</w:t>
            </w:r>
            <w:r>
              <w:rPr>
                <w:rFonts w:hint="eastAsia" w:ascii="宋体" w:hAnsi="宋体" w:eastAsia="宋体" w:cs="宋体"/>
                <w:i w:val="0"/>
                <w:iCs w:val="0"/>
                <w:color w:val="auto"/>
                <w:kern w:val="0"/>
                <w:sz w:val="20"/>
                <w:szCs w:val="20"/>
                <w:highlight w:val="none"/>
                <w:u w:val="none"/>
                <w:lang w:val="en-US" w:eastAsia="zh-CN" w:bidi="ar"/>
              </w:rPr>
              <w:t>H</w:t>
            </w:r>
            <w:r>
              <w:rPr>
                <w:rFonts w:hint="eastAsia" w:ascii="宋体" w:hAnsi="宋体" w:cs="宋体"/>
                <w:i w:val="0"/>
                <w:iCs w:val="0"/>
                <w:color w:val="auto"/>
                <w:kern w:val="0"/>
                <w:sz w:val="20"/>
                <w:szCs w:val="20"/>
                <w:highlight w:val="none"/>
                <w:u w:val="none"/>
                <w:lang w:val="en-US" w:eastAsia="zh-CN" w:bidi="ar"/>
              </w:rPr>
              <w:t>P</w:t>
            </w:r>
            <w:r>
              <w:rPr>
                <w:rFonts w:hint="eastAsia" w:ascii="宋体" w:hAnsi="宋体" w:eastAsia="宋体" w:cs="宋体"/>
                <w:i w:val="0"/>
                <w:iCs w:val="0"/>
                <w:color w:val="auto"/>
                <w:kern w:val="0"/>
                <w:sz w:val="20"/>
                <w:szCs w:val="20"/>
                <w:highlight w:val="none"/>
                <w:u w:val="none"/>
                <w:lang w:val="en-US" w:eastAsia="zh-CN" w:bidi="ar"/>
              </w:rPr>
              <w:t>B</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00E</w:t>
            </w:r>
            <w:r>
              <w:rPr>
                <w:rFonts w:hint="eastAsia" w:ascii="宋体" w:hAnsi="宋体" w:eastAsia="宋体" w:cs="宋体"/>
                <w:i w:val="0"/>
                <w:iCs w:val="0"/>
                <w:color w:val="auto"/>
                <w:kern w:val="0"/>
                <w:sz w:val="20"/>
                <w:szCs w:val="20"/>
                <w:highlight w:val="none"/>
                <w:u w:val="none"/>
                <w:lang w:val="en-US" w:eastAsia="zh-CN" w:bidi="ar"/>
              </w:rPr>
              <w:t xml:space="preserve"> Φ6 </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66192">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135E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0.61 </w:t>
            </w:r>
          </w:p>
        </w:tc>
        <w:tc>
          <w:tcPr>
            <w:tcW w:w="1354" w:type="dxa"/>
            <w:vMerge w:val="continue"/>
            <w:tcBorders>
              <w:left w:val="single" w:color="000000" w:sz="4" w:space="0"/>
              <w:right w:val="single" w:color="000000" w:sz="4" w:space="0"/>
            </w:tcBorders>
            <w:shd w:val="clear" w:color="auto" w:fill="FFFFFF"/>
            <w:noWrap/>
            <w:vAlign w:val="center"/>
          </w:tcPr>
          <w:p w14:paraId="70CE30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373A80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FEE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AEC6">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14</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F92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圆钢</w:t>
            </w:r>
            <w:r>
              <w:rPr>
                <w:rFonts w:hint="eastAsia" w:ascii="宋体" w:hAnsi="宋体" w:eastAsia="宋体" w:cs="宋体"/>
                <w:i w:val="0"/>
                <w:iCs w:val="0"/>
                <w:color w:val="auto"/>
                <w:kern w:val="0"/>
                <w:sz w:val="20"/>
                <w:szCs w:val="20"/>
                <w:highlight w:val="none"/>
                <w:u w:val="none"/>
                <w:lang w:val="en-US" w:eastAsia="zh-CN" w:bidi="ar"/>
              </w:rPr>
              <w:t>H</w:t>
            </w:r>
            <w:r>
              <w:rPr>
                <w:rFonts w:hint="eastAsia" w:ascii="宋体" w:hAnsi="宋体" w:cs="宋体"/>
                <w:i w:val="0"/>
                <w:iCs w:val="0"/>
                <w:color w:val="auto"/>
                <w:kern w:val="0"/>
                <w:sz w:val="20"/>
                <w:szCs w:val="20"/>
                <w:highlight w:val="none"/>
                <w:u w:val="none"/>
                <w:lang w:val="en-US" w:eastAsia="zh-CN" w:bidi="ar"/>
              </w:rPr>
              <w:t>P</w:t>
            </w:r>
            <w:r>
              <w:rPr>
                <w:rFonts w:hint="eastAsia" w:ascii="宋体" w:hAnsi="宋体" w:eastAsia="宋体" w:cs="宋体"/>
                <w:i w:val="0"/>
                <w:iCs w:val="0"/>
                <w:color w:val="auto"/>
                <w:kern w:val="0"/>
                <w:sz w:val="20"/>
                <w:szCs w:val="20"/>
                <w:highlight w:val="none"/>
                <w:u w:val="none"/>
                <w:lang w:val="en-US" w:eastAsia="zh-CN" w:bidi="ar"/>
              </w:rPr>
              <w:t>B</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00E</w:t>
            </w:r>
            <w:r>
              <w:rPr>
                <w:rFonts w:hint="eastAsia" w:ascii="宋体" w:hAnsi="宋体" w:eastAsia="宋体" w:cs="宋体"/>
                <w:i w:val="0"/>
                <w:iCs w:val="0"/>
                <w:color w:val="auto"/>
                <w:kern w:val="0"/>
                <w:sz w:val="20"/>
                <w:szCs w:val="20"/>
                <w:highlight w:val="none"/>
                <w:u w:val="none"/>
                <w:lang w:val="en-US" w:eastAsia="zh-CN" w:bidi="ar"/>
              </w:rPr>
              <w:t xml:space="preserve"> Φ8 </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79350">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574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21.44 </w:t>
            </w:r>
          </w:p>
        </w:tc>
        <w:tc>
          <w:tcPr>
            <w:tcW w:w="1354" w:type="dxa"/>
            <w:vMerge w:val="continue"/>
            <w:tcBorders>
              <w:left w:val="single" w:color="000000" w:sz="4" w:space="0"/>
              <w:right w:val="single" w:color="000000" w:sz="4" w:space="0"/>
            </w:tcBorders>
            <w:shd w:val="clear" w:color="auto" w:fill="FFFFFF"/>
            <w:noWrap/>
            <w:vAlign w:val="center"/>
          </w:tcPr>
          <w:p w14:paraId="596F0A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5C561D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7179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1E28">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3F5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圆钢</w:t>
            </w:r>
            <w:r>
              <w:rPr>
                <w:rFonts w:hint="eastAsia" w:ascii="宋体" w:hAnsi="宋体" w:eastAsia="宋体" w:cs="宋体"/>
                <w:i w:val="0"/>
                <w:iCs w:val="0"/>
                <w:color w:val="auto"/>
                <w:kern w:val="0"/>
                <w:sz w:val="20"/>
                <w:szCs w:val="20"/>
                <w:highlight w:val="none"/>
                <w:u w:val="none"/>
                <w:lang w:val="en-US" w:eastAsia="zh-CN" w:bidi="ar"/>
              </w:rPr>
              <w:t>H</w:t>
            </w:r>
            <w:r>
              <w:rPr>
                <w:rFonts w:hint="eastAsia" w:ascii="宋体" w:hAnsi="宋体" w:cs="宋体"/>
                <w:i w:val="0"/>
                <w:iCs w:val="0"/>
                <w:color w:val="auto"/>
                <w:kern w:val="0"/>
                <w:sz w:val="20"/>
                <w:szCs w:val="20"/>
                <w:highlight w:val="none"/>
                <w:u w:val="none"/>
                <w:lang w:val="en-US" w:eastAsia="zh-CN" w:bidi="ar"/>
              </w:rPr>
              <w:t>P</w:t>
            </w:r>
            <w:r>
              <w:rPr>
                <w:rFonts w:hint="eastAsia" w:ascii="宋体" w:hAnsi="宋体" w:eastAsia="宋体" w:cs="宋体"/>
                <w:i w:val="0"/>
                <w:iCs w:val="0"/>
                <w:color w:val="auto"/>
                <w:kern w:val="0"/>
                <w:sz w:val="20"/>
                <w:szCs w:val="20"/>
                <w:highlight w:val="none"/>
                <w:u w:val="none"/>
                <w:lang w:val="en-US" w:eastAsia="zh-CN" w:bidi="ar"/>
              </w:rPr>
              <w:t>B</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00E</w:t>
            </w:r>
            <w:r>
              <w:rPr>
                <w:rFonts w:hint="eastAsia" w:ascii="宋体" w:hAnsi="宋体" w:eastAsia="宋体" w:cs="宋体"/>
                <w:i w:val="0"/>
                <w:iCs w:val="0"/>
                <w:color w:val="auto"/>
                <w:kern w:val="0"/>
                <w:sz w:val="20"/>
                <w:szCs w:val="20"/>
                <w:highlight w:val="none"/>
                <w:u w:val="none"/>
                <w:lang w:val="en-US" w:eastAsia="zh-CN" w:bidi="ar"/>
              </w:rPr>
              <w:t xml:space="preserve"> Φ14 </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09B22">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9E38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25.32 </w:t>
            </w:r>
          </w:p>
        </w:tc>
        <w:tc>
          <w:tcPr>
            <w:tcW w:w="1354" w:type="dxa"/>
            <w:vMerge w:val="continue"/>
            <w:tcBorders>
              <w:left w:val="single" w:color="000000" w:sz="4" w:space="0"/>
              <w:right w:val="single" w:color="000000" w:sz="4" w:space="0"/>
            </w:tcBorders>
            <w:shd w:val="clear" w:color="auto" w:fill="FFFFFF"/>
            <w:noWrap/>
            <w:vAlign w:val="center"/>
          </w:tcPr>
          <w:p w14:paraId="618679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right w:val="single" w:color="000000" w:sz="4" w:space="0"/>
            </w:tcBorders>
            <w:shd w:val="clear" w:color="auto" w:fill="FFFFFF"/>
            <w:noWrap/>
            <w:vAlign w:val="center"/>
          </w:tcPr>
          <w:p w14:paraId="08047C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0995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589">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16</w:t>
            </w:r>
          </w:p>
        </w:tc>
        <w:tc>
          <w:tcPr>
            <w:tcW w:w="2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C854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圆钢</w:t>
            </w:r>
            <w:r>
              <w:rPr>
                <w:rFonts w:hint="eastAsia" w:ascii="宋体" w:hAnsi="宋体" w:eastAsia="宋体" w:cs="宋体"/>
                <w:i w:val="0"/>
                <w:iCs w:val="0"/>
                <w:color w:val="auto"/>
                <w:kern w:val="0"/>
                <w:sz w:val="20"/>
                <w:szCs w:val="20"/>
                <w:highlight w:val="none"/>
                <w:u w:val="none"/>
                <w:lang w:val="en-US" w:eastAsia="zh-CN" w:bidi="ar"/>
              </w:rPr>
              <w:t>H</w:t>
            </w:r>
            <w:r>
              <w:rPr>
                <w:rFonts w:hint="eastAsia" w:ascii="宋体" w:hAnsi="宋体" w:cs="宋体"/>
                <w:i w:val="0"/>
                <w:iCs w:val="0"/>
                <w:color w:val="auto"/>
                <w:kern w:val="0"/>
                <w:sz w:val="20"/>
                <w:szCs w:val="20"/>
                <w:highlight w:val="none"/>
                <w:u w:val="none"/>
                <w:lang w:val="en-US" w:eastAsia="zh-CN" w:bidi="ar"/>
              </w:rPr>
              <w:t>P</w:t>
            </w:r>
            <w:r>
              <w:rPr>
                <w:rFonts w:hint="eastAsia" w:ascii="宋体" w:hAnsi="宋体" w:eastAsia="宋体" w:cs="宋体"/>
                <w:i w:val="0"/>
                <w:iCs w:val="0"/>
                <w:color w:val="auto"/>
                <w:kern w:val="0"/>
                <w:sz w:val="20"/>
                <w:szCs w:val="20"/>
                <w:highlight w:val="none"/>
                <w:u w:val="none"/>
                <w:lang w:val="en-US" w:eastAsia="zh-CN" w:bidi="ar"/>
              </w:rPr>
              <w:t>B</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00E</w:t>
            </w:r>
            <w:r>
              <w:rPr>
                <w:rFonts w:hint="eastAsia" w:ascii="宋体" w:hAnsi="宋体" w:eastAsia="宋体" w:cs="宋体"/>
                <w:i w:val="0"/>
                <w:iCs w:val="0"/>
                <w:color w:val="auto"/>
                <w:kern w:val="0"/>
                <w:sz w:val="20"/>
                <w:szCs w:val="20"/>
                <w:highlight w:val="none"/>
                <w:u w:val="none"/>
                <w:lang w:val="en-US" w:eastAsia="zh-CN" w:bidi="ar"/>
              </w:rPr>
              <w:t xml:space="preserve"> Φ16 </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4CE6D">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T</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ADBD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140.32 </w:t>
            </w:r>
          </w:p>
        </w:tc>
        <w:tc>
          <w:tcPr>
            <w:tcW w:w="1354" w:type="dxa"/>
            <w:vMerge w:val="continue"/>
            <w:tcBorders>
              <w:left w:val="single" w:color="000000" w:sz="4" w:space="0"/>
              <w:bottom w:val="single" w:color="000000" w:sz="4" w:space="0"/>
              <w:right w:val="single" w:color="000000" w:sz="4" w:space="0"/>
            </w:tcBorders>
            <w:shd w:val="clear" w:color="auto" w:fill="FFFFFF"/>
            <w:noWrap/>
            <w:vAlign w:val="center"/>
          </w:tcPr>
          <w:p w14:paraId="49D175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83" w:type="dxa"/>
            <w:vMerge w:val="continue"/>
            <w:tcBorders>
              <w:left w:val="single" w:color="000000" w:sz="4" w:space="0"/>
              <w:bottom w:val="single" w:color="000000" w:sz="4" w:space="0"/>
              <w:right w:val="single" w:color="000000" w:sz="4" w:space="0"/>
            </w:tcBorders>
            <w:shd w:val="clear" w:color="auto" w:fill="FFFFFF"/>
            <w:noWrap/>
            <w:vAlign w:val="center"/>
          </w:tcPr>
          <w:p w14:paraId="6D8426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bl>
    <w:p w14:paraId="597265B0">
      <w:pPr>
        <w:pStyle w:val="2"/>
        <w:ind w:left="0" w:leftChars="0" w:firstLine="0" w:firstLineChars="0"/>
        <w:rPr>
          <w:rFonts w:hint="default" w:eastAsia="宋体"/>
          <w:color w:val="auto"/>
          <w:highlight w:val="none"/>
          <w:lang w:val="en-US" w:eastAsia="zh-CN"/>
        </w:rPr>
      </w:pPr>
    </w:p>
    <w:p w14:paraId="1CE5A602">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四</w:t>
      </w:r>
      <w:r>
        <w:rPr>
          <w:rFonts w:hint="eastAsia" w:ascii="宋体" w:hAnsi="宋体" w:eastAsia="宋体" w:cs="宋体"/>
          <w:b/>
          <w:color w:val="auto"/>
          <w:highlight w:val="none"/>
          <w:lang w:val="en-US" w:eastAsia="zh-CN"/>
        </w:rPr>
        <w:t>、</w:t>
      </w:r>
      <w:r>
        <w:rPr>
          <w:rFonts w:hint="default" w:ascii="宋体" w:hAnsi="宋体" w:eastAsia="宋体" w:cs="宋体"/>
          <w:b/>
          <w:color w:val="auto"/>
          <w:highlight w:val="none"/>
          <w:lang w:val="en-US" w:eastAsia="zh-CN"/>
        </w:rPr>
        <w:t>技术及品牌要求</w:t>
      </w:r>
    </w:p>
    <w:p w14:paraId="4A3F1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品牌限制：本工程严禁使用非指定品牌钢筋。供应商必须承诺所供货物为湘钢、萍钢、涟钢原厂生产。如发现混入其他品牌，采购人有权退货，并处违约罚款。</w:t>
      </w:r>
    </w:p>
    <w:p w14:paraId="3D4EB5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质量标准：符合 GB/T 1499.1-</w:t>
      </w:r>
      <w:r>
        <w:rPr>
          <w:rFonts w:hint="eastAsia" w:cs="Times New Roman"/>
          <w:color w:val="auto"/>
          <w:highlight w:val="none"/>
          <w:lang w:val="en-US" w:eastAsia="zh-CN"/>
        </w:rPr>
        <w:t>2024</w:t>
      </w:r>
      <w:r>
        <w:rPr>
          <w:rFonts w:hint="default" w:ascii="Times New Roman" w:hAnsi="Times New Roman" w:eastAsia="宋体" w:cs="Times New Roman"/>
          <w:color w:val="auto"/>
          <w:highlight w:val="none"/>
          <w:lang w:val="en-US" w:eastAsia="zh-CN"/>
        </w:rPr>
        <w:t xml:space="preserve"> 及 GB/T 1499.2-</w:t>
      </w:r>
      <w:r>
        <w:rPr>
          <w:rFonts w:hint="eastAsia" w:cs="Times New Roman"/>
          <w:color w:val="auto"/>
          <w:highlight w:val="none"/>
          <w:lang w:val="en-US" w:eastAsia="zh-CN"/>
        </w:rPr>
        <w:t>2024</w:t>
      </w:r>
      <w:r>
        <w:rPr>
          <w:rFonts w:hint="default" w:ascii="Times New Roman" w:hAnsi="Times New Roman" w:eastAsia="宋体" w:cs="Times New Roman"/>
          <w:color w:val="auto"/>
          <w:highlight w:val="none"/>
          <w:lang w:val="en-US" w:eastAsia="zh-CN"/>
        </w:rPr>
        <w:t xml:space="preserve"> 国家标准。</w:t>
      </w:r>
    </w:p>
    <w:p w14:paraId="18607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资料要求：每车货物必须随附原厂质量证明书（原件）、吊牌（清晰显示炉批号、品牌），且吊牌信息与质保书一致。</w:t>
      </w:r>
    </w:p>
    <w:p w14:paraId="7ABBCC7B">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五、</w:t>
      </w:r>
      <w:r>
        <w:rPr>
          <w:rFonts w:hint="default" w:ascii="宋体" w:hAnsi="宋体" w:eastAsia="宋体" w:cs="宋体"/>
          <w:b/>
          <w:color w:val="auto"/>
          <w:highlight w:val="none"/>
          <w:lang w:val="en-US" w:eastAsia="zh-CN"/>
        </w:rPr>
        <w:t>报价方式</w:t>
      </w:r>
    </w:p>
    <w:p w14:paraId="0B1880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本项目采用</w:t>
      </w:r>
      <w:r>
        <w:rPr>
          <w:rFonts w:hint="eastAsia" w:cs="Times New Roman"/>
          <w:color w:val="auto"/>
          <w:highlight w:val="none"/>
          <w:lang w:val="en-US" w:eastAsia="zh-CN"/>
        </w:rPr>
        <w:t>浮动金额</w:t>
      </w:r>
      <w:r>
        <w:rPr>
          <w:rFonts w:hint="default" w:ascii="Times New Roman" w:hAnsi="Times New Roman" w:eastAsia="宋体" w:cs="Times New Roman"/>
          <w:color w:val="auto"/>
          <w:highlight w:val="none"/>
          <w:lang w:val="en-US" w:eastAsia="zh-CN"/>
        </w:rPr>
        <w:t>招标。供应商在响应文件中填报唯一的浮</w:t>
      </w:r>
      <w:r>
        <w:rPr>
          <w:rFonts w:hint="eastAsia" w:cs="Times New Roman"/>
          <w:color w:val="auto"/>
          <w:highlight w:val="none"/>
          <w:lang w:val="en-US" w:eastAsia="zh-CN"/>
        </w:rPr>
        <w:t>动金额</w:t>
      </w:r>
      <w:r>
        <w:rPr>
          <w:rFonts w:hint="default" w:ascii="Times New Roman" w:hAnsi="Times New Roman" w:eastAsia="宋体" w:cs="Times New Roman"/>
          <w:color w:val="auto"/>
          <w:highlight w:val="none"/>
          <w:lang w:val="en-US" w:eastAsia="zh-CN"/>
        </w:rPr>
        <w:t>。</w:t>
      </w:r>
    </w:p>
    <w:p w14:paraId="47BF6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示例： 若供应商报价下浮</w:t>
      </w:r>
      <w:r>
        <w:rPr>
          <w:rFonts w:hint="eastAsia" w:cs="Times New Roman"/>
          <w:color w:val="auto"/>
          <w:highlight w:val="none"/>
          <w:lang w:val="en-US" w:eastAsia="zh-CN"/>
        </w:rPr>
        <w:t>金额</w:t>
      </w:r>
      <w:r>
        <w:rPr>
          <w:rFonts w:hint="default" w:ascii="Times New Roman" w:hAnsi="Times New Roman" w:eastAsia="宋体" w:cs="Times New Roman"/>
          <w:color w:val="auto"/>
          <w:highlight w:val="none"/>
          <w:lang w:val="en-US" w:eastAsia="zh-CN"/>
        </w:rPr>
        <w:t xml:space="preserve">为 </w:t>
      </w:r>
      <w:r>
        <w:rPr>
          <w:rFonts w:hint="eastAsia" w:cs="Times New Roman"/>
          <w:color w:val="auto"/>
          <w:highlight w:val="none"/>
          <w:lang w:val="en-US" w:eastAsia="zh-CN"/>
        </w:rPr>
        <w:t>15元/t</w:t>
      </w:r>
      <w:r>
        <w:rPr>
          <w:rFonts w:hint="default" w:ascii="Times New Roman" w:hAnsi="Times New Roman" w:eastAsia="宋体" w:cs="Times New Roman"/>
          <w:color w:val="auto"/>
          <w:highlight w:val="none"/>
          <w:lang w:val="en-US" w:eastAsia="zh-CN"/>
        </w:rPr>
        <w:t xml:space="preserve">，则意味着结算价在当日网价基础上优惠 </w:t>
      </w:r>
      <w:r>
        <w:rPr>
          <w:rFonts w:hint="eastAsia" w:cs="Times New Roman"/>
          <w:color w:val="auto"/>
          <w:highlight w:val="none"/>
          <w:lang w:val="en-US" w:eastAsia="zh-CN"/>
        </w:rPr>
        <w:t>15元/t</w:t>
      </w:r>
      <w:r>
        <w:rPr>
          <w:rFonts w:hint="default" w:ascii="Times New Roman" w:hAnsi="Times New Roman" w:eastAsia="宋体" w:cs="Times New Roman"/>
          <w:color w:val="auto"/>
          <w:highlight w:val="none"/>
          <w:lang w:val="en-US" w:eastAsia="zh-CN"/>
        </w:rPr>
        <w:t>。</w:t>
      </w:r>
    </w:p>
    <w:p w14:paraId="07AC12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评审标准： 在满足品牌和资格要求的前提下，</w:t>
      </w:r>
      <w:r>
        <w:rPr>
          <w:rFonts w:hint="eastAsia" w:cs="Times New Roman"/>
          <w:color w:val="auto"/>
          <w:highlight w:val="none"/>
          <w:lang w:val="en-US" w:eastAsia="zh-CN"/>
        </w:rPr>
        <w:t>报价金额</w:t>
      </w:r>
      <w:r>
        <w:rPr>
          <w:rFonts w:hint="default" w:ascii="Times New Roman" w:hAnsi="Times New Roman" w:eastAsia="宋体" w:cs="Times New Roman"/>
          <w:color w:val="auto"/>
          <w:highlight w:val="none"/>
          <w:lang w:val="en-US" w:eastAsia="zh-CN"/>
        </w:rPr>
        <w:t>最</w:t>
      </w:r>
      <w:r>
        <w:rPr>
          <w:rFonts w:hint="eastAsia" w:cs="Times New Roman"/>
          <w:color w:val="auto"/>
          <w:highlight w:val="none"/>
          <w:lang w:val="en-US" w:eastAsia="zh-CN"/>
        </w:rPr>
        <w:t>底</w:t>
      </w:r>
      <w:r>
        <w:rPr>
          <w:rFonts w:hint="default" w:ascii="Times New Roman" w:hAnsi="Times New Roman" w:eastAsia="宋体" w:cs="Times New Roman"/>
          <w:color w:val="auto"/>
          <w:highlight w:val="none"/>
          <w:lang w:val="en-US" w:eastAsia="zh-CN"/>
        </w:rPr>
        <w:t>者为第一成交候选人。</w:t>
      </w:r>
    </w:p>
    <w:p w14:paraId="0FBCDF5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rightChars="0" w:firstLine="0" w:firstLineChars="0"/>
        <w:jc w:val="left"/>
        <w:textAlignment w:val="auto"/>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结算方式</w:t>
      </w:r>
    </w:p>
    <w:p w14:paraId="0D0C67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按月结算，结算以后提供上月供应材料的发票，双方约定每月6日前为甲、乙双方材料对账日，对账期为上月1日至本月31日；凡超过当期对账日5天未进行对账的送货单，均为无效送货单，乙方自愿放弃对该送货单进行结算</w:t>
      </w:r>
    </w:p>
    <w:p w14:paraId="19D42B76">
      <w:pPr>
        <w:keepNext w:val="0"/>
        <w:keepLines w:val="0"/>
        <w:pageBreakBefore w:val="0"/>
        <w:widowControl w:val="0"/>
        <w:numPr>
          <w:ilvl w:val="0"/>
          <w:numId w:val="4"/>
        </w:numPr>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磅差计算</w:t>
      </w:r>
    </w:p>
    <w:p w14:paraId="5E956B1E">
      <w:pPr>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过磅数量超过乙方送货单的数量时，按送货单结算；当实际数量少于送货单数量超过千分之三时（包含3‰），当月所有送货量按最少的数量进行结算</w:t>
      </w:r>
      <w:r>
        <w:rPr>
          <w:rFonts w:hint="eastAsia" w:cs="Times New Roman"/>
          <w:color w:val="auto"/>
          <w:highlight w:val="none"/>
          <w:lang w:val="en-US" w:eastAsia="zh-CN"/>
        </w:rPr>
        <w:t>。</w:t>
      </w:r>
    </w:p>
    <w:p w14:paraId="153358AE">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八</w:t>
      </w:r>
      <w:r>
        <w:rPr>
          <w:rFonts w:hint="eastAsia" w:ascii="宋体" w:hAnsi="宋体" w:eastAsia="宋体" w:cs="宋体"/>
          <w:b/>
          <w:color w:val="auto"/>
          <w:highlight w:val="none"/>
          <w:lang w:val="en-US" w:eastAsia="zh-CN"/>
        </w:rPr>
        <w:t>、供货时间、运输</w:t>
      </w:r>
    </w:p>
    <w:p w14:paraId="3984812B">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1、采购人按批次将供货计划告知供应商，供应商得到计划后应在采购人计划</w:t>
      </w:r>
      <w:r>
        <w:rPr>
          <w:rFonts w:hint="eastAsia" w:cs="Times New Roman"/>
          <w:color w:val="auto"/>
          <w:highlight w:val="none"/>
          <w:lang w:val="en-US" w:eastAsia="zh-CN"/>
        </w:rPr>
        <w:t>7</w:t>
      </w:r>
      <w:r>
        <w:rPr>
          <w:rFonts w:hint="eastAsia" w:ascii="Times New Roman" w:hAnsi="Times New Roman" w:eastAsia="宋体" w:cs="Times New Roman"/>
          <w:color w:val="auto"/>
          <w:highlight w:val="none"/>
          <w:lang w:val="en-US" w:eastAsia="zh-CN"/>
        </w:rPr>
        <w:t>天内供货到项目现场。</w:t>
      </w:r>
    </w:p>
    <w:p w14:paraId="52B2E028">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2、由供应商负责货物的装车运输，并运至指定地点</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到工地由</w:t>
      </w:r>
      <w:r>
        <w:rPr>
          <w:rFonts w:hint="eastAsia" w:cs="Times New Roman"/>
          <w:color w:val="auto"/>
          <w:highlight w:val="none"/>
          <w:lang w:val="en-US" w:eastAsia="zh-CN"/>
        </w:rPr>
        <w:t>供应商</w:t>
      </w:r>
      <w:r>
        <w:rPr>
          <w:rFonts w:hint="eastAsia" w:ascii="Times New Roman" w:hAnsi="Times New Roman" w:eastAsia="宋体" w:cs="Times New Roman"/>
          <w:color w:val="auto"/>
          <w:highlight w:val="none"/>
          <w:lang w:val="en-US" w:eastAsia="zh-CN"/>
        </w:rPr>
        <w:t>负责卸货。货物到达指定地点后，采购人及时派收货员对货物的数量进行验收，并在送货单上签字确认，作为双方结算的依据。（结算以</w:t>
      </w:r>
      <w:r>
        <w:rPr>
          <w:rFonts w:hint="eastAsia" w:cs="Times New Roman"/>
          <w:color w:val="auto"/>
          <w:highlight w:val="none"/>
          <w:lang w:val="en-US" w:eastAsia="zh-CN"/>
        </w:rPr>
        <w:t>验收合格</w:t>
      </w:r>
      <w:r>
        <w:rPr>
          <w:rFonts w:hint="eastAsia" w:ascii="Times New Roman" w:hAnsi="Times New Roman" w:eastAsia="宋体" w:cs="Times New Roman"/>
          <w:color w:val="auto"/>
          <w:highlight w:val="none"/>
          <w:lang w:val="en-US" w:eastAsia="zh-CN"/>
        </w:rPr>
        <w:t>实际</w:t>
      </w:r>
      <w:r>
        <w:rPr>
          <w:rFonts w:hint="eastAsia" w:cs="Times New Roman"/>
          <w:color w:val="auto"/>
          <w:highlight w:val="none"/>
          <w:lang w:val="en-US" w:eastAsia="zh-CN"/>
        </w:rPr>
        <w:t>完成</w:t>
      </w:r>
      <w:r>
        <w:rPr>
          <w:rFonts w:hint="eastAsia" w:ascii="Times New Roman" w:hAnsi="Times New Roman" w:eastAsia="宋体" w:cs="Times New Roman"/>
          <w:color w:val="auto"/>
          <w:highlight w:val="none"/>
          <w:lang w:val="en-US" w:eastAsia="zh-CN"/>
        </w:rPr>
        <w:t>量为准。）</w:t>
      </w:r>
    </w:p>
    <w:p w14:paraId="0F6EA55E">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九</w:t>
      </w:r>
      <w:r>
        <w:rPr>
          <w:rFonts w:hint="eastAsia" w:ascii="宋体" w:hAnsi="宋体" w:eastAsia="宋体" w:cs="宋体"/>
          <w:b/>
          <w:color w:val="auto"/>
          <w:highlight w:val="none"/>
          <w:lang w:val="en-US" w:eastAsia="zh-CN"/>
        </w:rPr>
        <w:t>、货款支付方式</w:t>
      </w:r>
    </w:p>
    <w:p w14:paraId="6CA05061">
      <w:pPr>
        <w:spacing w:line="360" w:lineRule="auto"/>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材料送货至现场后，按照双方确认的实际收货量进行</w:t>
      </w:r>
      <w:r>
        <w:rPr>
          <w:rFonts w:hint="eastAsia" w:cs="Times New Roman"/>
          <w:color w:val="auto"/>
          <w:kern w:val="2"/>
          <w:sz w:val="21"/>
          <w:szCs w:val="24"/>
          <w:highlight w:val="none"/>
          <w:lang w:val="en-US" w:eastAsia="zh-CN" w:bidi="ar-SA"/>
        </w:rPr>
        <w:t>签收</w:t>
      </w:r>
      <w:r>
        <w:rPr>
          <w:rFonts w:hint="eastAsia" w:ascii="Times New Roman" w:hAnsi="Times New Roman" w:eastAsia="宋体" w:cs="Times New Roman"/>
          <w:color w:val="auto"/>
          <w:kern w:val="2"/>
          <w:sz w:val="21"/>
          <w:szCs w:val="24"/>
          <w:highlight w:val="none"/>
          <w:lang w:val="en-US" w:eastAsia="zh-CN" w:bidi="ar-SA"/>
        </w:rPr>
        <w:t>，下月30日前，以现金转账付款方式付清本次对账金额的100%。付款时</w:t>
      </w:r>
      <w:r>
        <w:rPr>
          <w:rFonts w:hint="eastAsia" w:cs="Times New Roman"/>
          <w:color w:val="auto"/>
          <w:kern w:val="2"/>
          <w:sz w:val="21"/>
          <w:szCs w:val="24"/>
          <w:highlight w:val="none"/>
          <w:lang w:val="en-US" w:eastAsia="zh-CN" w:bidi="ar-SA"/>
        </w:rPr>
        <w:t>供货商</w:t>
      </w:r>
      <w:r>
        <w:rPr>
          <w:rFonts w:hint="eastAsia" w:ascii="Times New Roman" w:hAnsi="Times New Roman" w:eastAsia="宋体" w:cs="Times New Roman"/>
          <w:color w:val="auto"/>
          <w:kern w:val="2"/>
          <w:sz w:val="21"/>
          <w:szCs w:val="24"/>
          <w:highlight w:val="none"/>
          <w:lang w:val="en-US" w:eastAsia="zh-CN" w:bidi="ar-SA"/>
        </w:rPr>
        <w:t>向</w:t>
      </w:r>
      <w:r>
        <w:rPr>
          <w:rFonts w:hint="eastAsia" w:cs="Times New Roman"/>
          <w:color w:val="auto"/>
          <w:kern w:val="2"/>
          <w:sz w:val="21"/>
          <w:szCs w:val="24"/>
          <w:highlight w:val="none"/>
          <w:lang w:val="en-US" w:eastAsia="zh-CN" w:bidi="ar-SA"/>
        </w:rPr>
        <w:t>采购</w:t>
      </w:r>
      <w:r>
        <w:rPr>
          <w:rFonts w:hint="eastAsia" w:ascii="Times New Roman" w:hAnsi="Times New Roman" w:eastAsia="宋体" w:cs="Times New Roman"/>
          <w:color w:val="auto"/>
          <w:kern w:val="2"/>
          <w:sz w:val="21"/>
          <w:szCs w:val="24"/>
          <w:highlight w:val="none"/>
          <w:lang w:val="en-US" w:eastAsia="zh-CN" w:bidi="ar-SA"/>
        </w:rPr>
        <w:t>方提供与付款金额足额的增值税专用发票。</w:t>
      </w:r>
    </w:p>
    <w:p w14:paraId="50E2EABB">
      <w:pPr>
        <w:spacing w:line="360" w:lineRule="auto"/>
        <w:jc w:val="center"/>
        <w:rPr>
          <w:rStyle w:val="28"/>
          <w:rFonts w:hAnsi="宋体" w:cs="宋体"/>
          <w:color w:val="auto"/>
          <w:sz w:val="32"/>
          <w:szCs w:val="32"/>
          <w:highlight w:val="none"/>
        </w:rPr>
      </w:pPr>
      <w:r>
        <w:rPr>
          <w:rStyle w:val="28"/>
          <w:rFonts w:hint="eastAsia" w:hAnsi="宋体" w:cs="宋体"/>
          <w:color w:val="auto"/>
          <w:sz w:val="32"/>
          <w:szCs w:val="32"/>
          <w:highlight w:val="none"/>
        </w:rPr>
        <w:t>第</w:t>
      </w:r>
      <w:r>
        <w:rPr>
          <w:rStyle w:val="28"/>
          <w:rFonts w:hint="eastAsia" w:hAnsi="宋体" w:cs="宋体"/>
          <w:color w:val="auto"/>
          <w:sz w:val="32"/>
          <w:szCs w:val="32"/>
          <w:highlight w:val="none"/>
          <w:lang w:eastAsia="zh-CN"/>
        </w:rPr>
        <w:t>五</w:t>
      </w:r>
      <w:r>
        <w:rPr>
          <w:rStyle w:val="28"/>
          <w:rFonts w:hint="eastAsia" w:hAnsi="宋体" w:cs="宋体"/>
          <w:color w:val="auto"/>
          <w:sz w:val="32"/>
          <w:szCs w:val="32"/>
          <w:highlight w:val="none"/>
        </w:rPr>
        <w:t>章 响应文件组成</w:t>
      </w:r>
    </w:p>
    <w:p w14:paraId="5BA3866B">
      <w:pPr>
        <w:spacing w:line="600" w:lineRule="exact"/>
        <w:rPr>
          <w:rFonts w:ascii="宋体" w:hAnsi="宋体" w:cs="宋体"/>
          <w:color w:val="auto"/>
          <w:sz w:val="24"/>
          <w:highlight w:val="none"/>
        </w:rPr>
      </w:pPr>
      <w:r>
        <w:rPr>
          <w:rFonts w:hint="eastAsia" w:ascii="宋体" w:hAnsi="宋体" w:cs="宋体"/>
          <w:color w:val="auto"/>
          <w:sz w:val="24"/>
          <w:highlight w:val="none"/>
        </w:rPr>
        <w:t>供应商的响应文件应包含以下</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个部分：</w:t>
      </w:r>
    </w:p>
    <w:p w14:paraId="32A73925">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响应声明</w:t>
      </w:r>
    </w:p>
    <w:p w14:paraId="0B7DFBC8">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供应商资格证明材料</w:t>
      </w:r>
    </w:p>
    <w:p w14:paraId="4B6983A3">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报价一览表</w:t>
      </w:r>
    </w:p>
    <w:p w14:paraId="01E596ED">
      <w:pPr>
        <w:numPr>
          <w:ilvl w:val="0"/>
          <w:numId w:val="5"/>
        </w:numPr>
        <w:adjustRightInd w:val="0"/>
        <w:snapToGrid w:val="0"/>
        <w:spacing w:line="600" w:lineRule="exact"/>
        <w:jc w:val="left"/>
        <w:outlineLvl w:val="0"/>
        <w:rPr>
          <w:rFonts w:hint="eastAsia" w:ascii="宋体" w:hAnsi="宋体" w:cs="宋体"/>
          <w:b/>
          <w:color w:val="auto"/>
          <w:sz w:val="24"/>
          <w:highlight w:val="none"/>
        </w:rPr>
      </w:pPr>
      <w:r>
        <w:rPr>
          <w:rFonts w:hint="eastAsia" w:ascii="宋体" w:hAnsi="宋体" w:cs="宋体"/>
          <w:b/>
          <w:color w:val="auto"/>
          <w:sz w:val="24"/>
          <w:highlight w:val="none"/>
        </w:rPr>
        <w:t>供应商认为需要提供的其它资料</w:t>
      </w:r>
    </w:p>
    <w:p w14:paraId="0BE9041C">
      <w:pPr>
        <w:pStyle w:val="2"/>
        <w:ind w:firstLine="482"/>
        <w:rPr>
          <w:rFonts w:ascii="宋体" w:hAnsi="宋体" w:cs="宋体"/>
          <w:b/>
          <w:color w:val="auto"/>
          <w:sz w:val="24"/>
          <w:highlight w:val="none"/>
        </w:rPr>
      </w:pPr>
      <w:r>
        <w:rPr>
          <w:rFonts w:hint="eastAsia" w:ascii="宋体" w:hAnsi="宋体" w:cs="宋体"/>
          <w:b/>
          <w:color w:val="auto"/>
          <w:sz w:val="24"/>
          <w:highlight w:val="none"/>
        </w:rPr>
        <w:br w:type="page"/>
      </w:r>
    </w:p>
    <w:p w14:paraId="47811C3D">
      <w:pPr>
        <w:pStyle w:val="13"/>
        <w:adjustRightInd w:val="0"/>
        <w:snapToGrid w:val="0"/>
        <w:spacing w:line="400" w:lineRule="atLeast"/>
        <w:jc w:val="center"/>
        <w:rPr>
          <w:rFonts w:hAnsi="宋体" w:cs="宋体"/>
          <w:b/>
          <w:color w:val="auto"/>
          <w:sz w:val="84"/>
          <w:szCs w:val="84"/>
          <w:highlight w:val="none"/>
        </w:rPr>
      </w:pPr>
    </w:p>
    <w:p w14:paraId="68C59F6C">
      <w:pPr>
        <w:pStyle w:val="13"/>
        <w:adjustRightInd w:val="0"/>
        <w:snapToGrid w:val="0"/>
        <w:spacing w:line="400" w:lineRule="atLeast"/>
        <w:jc w:val="center"/>
        <w:rPr>
          <w:rFonts w:hAnsi="宋体" w:cs="宋体"/>
          <w:b/>
          <w:color w:val="auto"/>
          <w:sz w:val="84"/>
          <w:szCs w:val="84"/>
          <w:highlight w:val="none"/>
        </w:rPr>
      </w:pPr>
      <w:r>
        <w:rPr>
          <w:rFonts w:hint="eastAsia" w:hAnsi="宋体" w:cs="宋体"/>
          <w:b/>
          <w:color w:val="auto"/>
          <w:sz w:val="84"/>
          <w:szCs w:val="84"/>
          <w:highlight w:val="none"/>
          <w:lang w:val="en-US" w:eastAsia="zh-CN"/>
        </w:rPr>
        <w:t>竞谈采购</w:t>
      </w:r>
    </w:p>
    <w:p w14:paraId="5BF0A515">
      <w:pPr>
        <w:adjustRightInd w:val="0"/>
        <w:snapToGrid w:val="0"/>
        <w:spacing w:line="400" w:lineRule="atLeast"/>
        <w:jc w:val="center"/>
        <w:rPr>
          <w:rFonts w:ascii="宋体" w:hAnsi="宋体" w:cs="宋体"/>
          <w:b/>
          <w:color w:val="auto"/>
          <w:sz w:val="44"/>
          <w:szCs w:val="44"/>
          <w:highlight w:val="none"/>
        </w:rPr>
      </w:pPr>
      <w:r>
        <w:rPr>
          <w:rFonts w:hint="eastAsia" w:ascii="宋体" w:hAnsi="宋体" w:cs="宋体"/>
          <w:b/>
          <w:color w:val="auto"/>
          <w:sz w:val="84"/>
          <w:szCs w:val="84"/>
          <w:highlight w:val="none"/>
        </w:rPr>
        <w:t>响 应 文 件</w:t>
      </w:r>
    </w:p>
    <w:p w14:paraId="25DF4074">
      <w:pPr>
        <w:spacing w:beforeLines="100"/>
        <w:jc w:val="center"/>
        <w:rPr>
          <w:rFonts w:ascii="宋体" w:hAnsi="宋体" w:cs="宋体"/>
          <w:b/>
          <w:color w:val="auto"/>
          <w:sz w:val="44"/>
          <w:szCs w:val="44"/>
          <w:highlight w:val="none"/>
        </w:rPr>
      </w:pPr>
    </w:p>
    <w:p w14:paraId="6C3099C9">
      <w:pPr>
        <w:spacing w:beforeLines="100"/>
        <w:jc w:val="center"/>
        <w:rPr>
          <w:rFonts w:ascii="宋体" w:hAnsi="宋体" w:cs="宋体"/>
          <w:b/>
          <w:color w:val="auto"/>
          <w:sz w:val="44"/>
          <w:szCs w:val="44"/>
          <w:highlight w:val="none"/>
        </w:rPr>
      </w:pPr>
    </w:p>
    <w:p w14:paraId="186793F3">
      <w:pPr>
        <w:rPr>
          <w:rFonts w:ascii="宋体" w:hAnsi="宋体" w:cs="宋体"/>
          <w:b/>
          <w:color w:val="auto"/>
          <w:sz w:val="32"/>
          <w:szCs w:val="32"/>
          <w:highlight w:val="none"/>
        </w:rPr>
      </w:pPr>
    </w:p>
    <w:p w14:paraId="45EE17C3">
      <w:pPr>
        <w:pStyle w:val="26"/>
        <w:rPr>
          <w:color w:val="auto"/>
          <w:highlight w:val="none"/>
        </w:rPr>
      </w:pPr>
    </w:p>
    <w:p w14:paraId="5C4F8830">
      <w:pPr>
        <w:adjustRightInd w:val="0"/>
        <w:snapToGrid w:val="0"/>
        <w:ind w:firstLine="1506" w:firstLineChars="500"/>
        <w:outlineLvl w:val="0"/>
        <w:rPr>
          <w:rFonts w:ascii="宋体" w:hAnsi="宋体" w:cs="宋体"/>
          <w:b/>
          <w:color w:val="auto"/>
          <w:sz w:val="30"/>
          <w:szCs w:val="30"/>
          <w:highlight w:val="none"/>
        </w:rPr>
      </w:pPr>
    </w:p>
    <w:p w14:paraId="353F0675">
      <w:pPr>
        <w:spacing w:line="720" w:lineRule="auto"/>
        <w:ind w:left="2401" w:leftChars="426" w:hanging="1506" w:hangingChars="500"/>
        <w:jc w:val="left"/>
        <w:rPr>
          <w:rFonts w:hint="eastAsia" w:ascii="宋体" w:hAnsi="宋体" w:cs="宋体"/>
          <w:b/>
          <w:color w:val="auto"/>
          <w:sz w:val="30"/>
          <w:szCs w:val="30"/>
          <w:highlight w:val="none"/>
          <w:u w:val="single"/>
          <w:lang w:val="en-US"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u w:val="single"/>
          <w:lang w:eastAsia="zh-CN"/>
        </w:rPr>
        <w:t>株洲北斗应用与信息技术产业示范基地配套基础设施项目（一期）</w:t>
      </w:r>
      <w:r>
        <w:rPr>
          <w:rFonts w:hint="eastAsia" w:ascii="宋体" w:hAnsi="宋体" w:cs="宋体"/>
          <w:b/>
          <w:color w:val="auto"/>
          <w:sz w:val="30"/>
          <w:szCs w:val="30"/>
          <w:highlight w:val="none"/>
          <w:u w:val="single"/>
          <w:lang w:val="en-US" w:eastAsia="zh-CN"/>
        </w:rPr>
        <w:t xml:space="preserve">钢筋采购 </w:t>
      </w:r>
      <w:r>
        <w:rPr>
          <w:rFonts w:hint="eastAsia" w:ascii="宋体" w:hAnsi="宋体" w:cs="宋体"/>
          <w:b/>
          <w:color w:val="auto"/>
          <w:sz w:val="30"/>
          <w:szCs w:val="30"/>
          <w:highlight w:val="none"/>
          <w:u w:val="none"/>
          <w:lang w:val="en-US" w:eastAsia="zh-CN"/>
        </w:rPr>
        <w:t xml:space="preserve">     </w:t>
      </w:r>
    </w:p>
    <w:p w14:paraId="1808C182">
      <w:pPr>
        <w:spacing w:line="720" w:lineRule="auto"/>
        <w:ind w:left="2401" w:leftChars="426" w:hanging="1506" w:hangingChars="500"/>
        <w:jc w:val="left"/>
        <w:rPr>
          <w:rFonts w:hint="eastAsia" w:ascii="宋体" w:hAnsi="宋体" w:eastAsia="宋体" w:cs="宋体"/>
          <w:b/>
          <w:color w:val="auto"/>
          <w:sz w:val="30"/>
          <w:szCs w:val="30"/>
          <w:highlight w:val="none"/>
          <w:u w:val="singl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lang w:eastAsia="zh-CN"/>
        </w:rPr>
        <w:t>株洲市云龙发展集团城市建设有限公司</w:t>
      </w:r>
    </w:p>
    <w:p w14:paraId="40A6CEF9">
      <w:pPr>
        <w:spacing w:line="720" w:lineRule="auto"/>
        <w:ind w:firstLine="904" w:firstLineChars="300"/>
        <w:jc w:val="left"/>
        <w:rPr>
          <w:rFonts w:ascii="宋体" w:hAnsi="宋体" w:cs="宋体"/>
          <w:b/>
          <w:color w:val="auto"/>
          <w:sz w:val="30"/>
          <w:szCs w:val="30"/>
          <w:highlight w:val="none"/>
          <w:u w:val="single"/>
        </w:rPr>
      </w:pPr>
      <w:r>
        <w:rPr>
          <w:rFonts w:hint="eastAsia" w:ascii="宋体" w:hAnsi="宋体" w:cs="宋体"/>
          <w:b/>
          <w:color w:val="auto"/>
          <w:sz w:val="30"/>
          <w:szCs w:val="30"/>
          <w:highlight w:val="none"/>
        </w:rPr>
        <w:t>供应商名称：</w:t>
      </w:r>
      <w:r>
        <w:rPr>
          <w:rFonts w:hint="eastAsia" w:ascii="宋体" w:hAnsi="宋体" w:cs="宋体"/>
          <w:b/>
          <w:color w:val="auto"/>
          <w:sz w:val="30"/>
          <w:szCs w:val="30"/>
          <w:highlight w:val="none"/>
          <w:u w:val="single"/>
        </w:rPr>
        <w:t xml:space="preserve">      （盖单位章）        </w:t>
      </w:r>
    </w:p>
    <w:p w14:paraId="56B2C8B6">
      <w:pPr>
        <w:adjustRightInd w:val="0"/>
        <w:snapToGrid w:val="0"/>
        <w:spacing w:line="360" w:lineRule="auto"/>
        <w:outlineLvl w:val="0"/>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4A876D13">
      <w:pPr>
        <w:adjustRightInd w:val="0"/>
        <w:snapToGrid w:val="0"/>
        <w:spacing w:line="360" w:lineRule="auto"/>
        <w:ind w:firstLine="904" w:firstLineChars="300"/>
        <w:outlineLvl w:val="0"/>
        <w:rPr>
          <w:rFonts w:ascii="宋体" w:hAnsi="宋体" w:cs="宋体"/>
          <w:b/>
          <w:color w:val="auto"/>
          <w:sz w:val="30"/>
          <w:szCs w:val="30"/>
          <w:highlight w:val="none"/>
        </w:rPr>
      </w:pPr>
      <w:r>
        <w:rPr>
          <w:rFonts w:hint="eastAsia" w:ascii="宋体" w:hAnsi="宋体" w:cs="宋体"/>
          <w:b/>
          <w:color w:val="auto"/>
          <w:sz w:val="30"/>
          <w:szCs w:val="30"/>
          <w:highlight w:val="none"/>
        </w:rPr>
        <w:t>日      期：         年      月      日</w:t>
      </w:r>
    </w:p>
    <w:p w14:paraId="798FB207">
      <w:p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8"/>
          <w:szCs w:val="28"/>
          <w:highlight w:val="none"/>
        </w:rPr>
        <w:t xml:space="preserve">（说明：当供应商采用硬质或塑胶等外封面不便签署时，外封面可不签署，但应在响应文件内按此格式设有内封面，并按此格式签署。） </w:t>
      </w:r>
    </w:p>
    <w:p w14:paraId="7290560E">
      <w:pPr>
        <w:adjustRightInd w:val="0"/>
        <w:snapToGrid w:val="0"/>
        <w:spacing w:line="360" w:lineRule="auto"/>
        <w:jc w:val="center"/>
        <w:outlineLvl w:val="0"/>
        <w:rPr>
          <w:rFonts w:ascii="黑体" w:eastAsia="黑体"/>
          <w:color w:val="auto"/>
          <w:sz w:val="32"/>
          <w:szCs w:val="32"/>
          <w:highlight w:val="none"/>
        </w:rPr>
      </w:pPr>
      <w:bookmarkStart w:id="0" w:name="_Toc12115"/>
      <w:bookmarkStart w:id="1" w:name="_Toc10664"/>
      <w:bookmarkStart w:id="2" w:name="_Toc23249"/>
      <w:r>
        <w:rPr>
          <w:rFonts w:hint="eastAsia" w:ascii="黑体" w:eastAsia="黑体"/>
          <w:color w:val="auto"/>
          <w:sz w:val="32"/>
          <w:szCs w:val="32"/>
          <w:highlight w:val="none"/>
        </w:rPr>
        <w:br w:type="page"/>
      </w:r>
      <w:r>
        <w:rPr>
          <w:rFonts w:hint="eastAsia" w:ascii="黑体" w:eastAsia="黑体"/>
          <w:color w:val="auto"/>
          <w:sz w:val="32"/>
          <w:szCs w:val="32"/>
          <w:highlight w:val="none"/>
        </w:rPr>
        <w:t>一、</w:t>
      </w:r>
      <w:r>
        <w:rPr>
          <w:rFonts w:hint="eastAsia" w:ascii="黑体" w:hAnsi="宋体" w:eastAsia="黑体"/>
          <w:color w:val="auto"/>
          <w:sz w:val="32"/>
          <w:szCs w:val="32"/>
          <w:highlight w:val="none"/>
        </w:rPr>
        <w:t>响应声明</w:t>
      </w:r>
      <w:bookmarkEnd w:id="0"/>
      <w:bookmarkEnd w:id="1"/>
      <w:bookmarkEnd w:id="2"/>
    </w:p>
    <w:p w14:paraId="05370ED7">
      <w:pPr>
        <w:adjustRightInd w:val="0"/>
        <w:snapToGrid w:val="0"/>
        <w:spacing w:line="360" w:lineRule="auto"/>
        <w:rPr>
          <w:rFonts w:ascii="仿宋_GB2312" w:hAnsi="宋体" w:eastAsia="仿宋_GB2312"/>
          <w:color w:val="auto"/>
          <w:sz w:val="24"/>
          <w:highlight w:val="none"/>
        </w:rPr>
      </w:pPr>
    </w:p>
    <w:p w14:paraId="339625A6">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株洲市云龙发展集团城市建设有限公司</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p>
    <w:p w14:paraId="14295E39">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hAnsi="宋体"/>
          <w:b w:val="0"/>
          <w:bCs w:val="0"/>
          <w:color w:val="auto"/>
          <w:sz w:val="21"/>
          <w:szCs w:val="21"/>
          <w:highlight w:val="none"/>
          <w:u w:val="single"/>
          <w:lang w:val="en-US" w:eastAsia="zh-CN"/>
        </w:rPr>
        <w:t>株洲北斗应用与信息技术产业示范基地配套基础设施项目（一期）钢筋采购</w:t>
      </w:r>
      <w:r>
        <w:rPr>
          <w:rFonts w:hint="eastAsia" w:ascii="宋体" w:hAnsi="宋体"/>
          <w:color w:val="auto"/>
          <w:szCs w:val="21"/>
          <w:highlight w:val="none"/>
          <w:u w:val="single"/>
        </w:rPr>
        <w:t>(项目名称)</w:t>
      </w:r>
      <w:r>
        <w:rPr>
          <w:rFonts w:hint="eastAsia" w:ascii="宋体" w:hAnsi="宋体"/>
          <w:color w:val="auto"/>
          <w:szCs w:val="21"/>
          <w:highlight w:val="none"/>
        </w:rPr>
        <w:t>的采购文件的全部内容，知悉参加采购活动的风险，</w:t>
      </w:r>
      <w:r>
        <w:rPr>
          <w:rFonts w:hint="eastAsia" w:ascii="宋体" w:hAnsi="宋体" w:cs="宋体"/>
          <w:color w:val="auto"/>
          <w:szCs w:val="21"/>
          <w:highlight w:val="none"/>
        </w:rPr>
        <w:t>同时理解贵方的采购行为为企业采购，非政府采购与招标，愿意对参与贵方项目知悉的项目情况予以保密，并</w:t>
      </w:r>
      <w:r>
        <w:rPr>
          <w:rFonts w:hint="eastAsia" w:ascii="宋体" w:hAnsi="宋体"/>
          <w:color w:val="auto"/>
          <w:szCs w:val="21"/>
          <w:highlight w:val="none"/>
        </w:rPr>
        <w:t>承诺接受采购文件的全部条款且无任何异议。</w:t>
      </w:r>
    </w:p>
    <w:p w14:paraId="2E827943">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一、我方同意在采购文件中规定的提交响应文件截止时间起</w:t>
      </w:r>
      <w:r>
        <w:rPr>
          <w:rFonts w:hint="eastAsia" w:ascii="宋体" w:hAnsi="宋体"/>
          <w:color w:val="auto"/>
          <w:szCs w:val="21"/>
          <w:highlight w:val="none"/>
          <w:u w:val="single"/>
        </w:rPr>
        <w:t xml:space="preserve">    </w:t>
      </w:r>
      <w:r>
        <w:rPr>
          <w:rFonts w:hint="eastAsia" w:ascii="宋体" w:hAnsi="宋体"/>
          <w:color w:val="auto"/>
          <w:szCs w:val="21"/>
          <w:highlight w:val="none"/>
        </w:rPr>
        <w:t>日内(响应文件有效期)遵守本响应文件中的承诺且在此期限期满之前均具有法律约束力。</w:t>
      </w:r>
    </w:p>
    <w:p w14:paraId="095B078A">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二、我方提交响应文件正本一份和副本一式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份，并保证响应文件提供的数据和材料是真实、准确的。否则，愿承担被取消成交资格、列入企业不良行为记录名单、在一至三年内禁止参加贵方组织的企业采购活动。 </w:t>
      </w:r>
    </w:p>
    <w:p w14:paraId="179A1844">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三、我方愿意向贵方提供任何与本项采购有关的数据、情况和技术资料。若贵方需要，我方愿意提供我方作出的一切承诺的证明材料。</w:t>
      </w:r>
    </w:p>
    <w:p w14:paraId="70D2D3AA">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四、我方承诺遵守采购文件的有关规定，保证在获得成交资格后，按照采购文件确定的事项签订采购合同，履行双方所签订的合同，并承担合同规定的责任和义务。</w:t>
      </w:r>
    </w:p>
    <w:p w14:paraId="73873F68">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五、与本次采购有关的一切正式往来信函请寄：</w:t>
      </w:r>
    </w:p>
    <w:p w14:paraId="5EF52FD7">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3D07C35">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14:paraId="5F645239">
      <w:pPr>
        <w:adjustRightInd w:val="0"/>
        <w:snapToGrid w:val="0"/>
        <w:spacing w:beforeLines="50" w:line="360" w:lineRule="auto"/>
        <w:rPr>
          <w:rFonts w:ascii="宋体" w:hAnsi="宋体"/>
          <w:color w:val="auto"/>
          <w:szCs w:val="21"/>
          <w:highlight w:val="none"/>
        </w:rPr>
      </w:pPr>
    </w:p>
    <w:p w14:paraId="18779F3A">
      <w:pPr>
        <w:pStyle w:val="2"/>
        <w:rPr>
          <w:color w:val="auto"/>
          <w:highlight w:val="none"/>
        </w:rPr>
      </w:pPr>
    </w:p>
    <w:p w14:paraId="6ABA7F1F">
      <w:pPr>
        <w:adjustRightInd w:val="0"/>
        <w:snapToGrid w:val="0"/>
        <w:spacing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供应商名称(盖单位章)：</w:t>
      </w:r>
      <w:r>
        <w:rPr>
          <w:rFonts w:hint="eastAsia" w:ascii="宋体" w:hAnsi="宋体"/>
          <w:color w:val="auto"/>
          <w:szCs w:val="21"/>
          <w:highlight w:val="none"/>
          <w:u w:val="single"/>
        </w:rPr>
        <w:t xml:space="preserve">                  </w:t>
      </w:r>
    </w:p>
    <w:p w14:paraId="69CEAF18">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F147636">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11B50C2">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br w:type="page"/>
      </w:r>
    </w:p>
    <w:p w14:paraId="3FD0E5FC">
      <w:pPr>
        <w:pStyle w:val="2"/>
        <w:ind w:left="0" w:leftChars="0" w:firstLine="0" w:firstLineChars="0"/>
        <w:jc w:val="center"/>
        <w:rPr>
          <w:rFonts w:ascii="黑体" w:eastAsia="黑体"/>
          <w:color w:val="auto"/>
          <w:sz w:val="32"/>
          <w:szCs w:val="32"/>
          <w:highlight w:val="none"/>
        </w:rPr>
      </w:pPr>
      <w:r>
        <w:rPr>
          <w:rFonts w:hint="eastAsia" w:ascii="黑体" w:eastAsia="黑体"/>
          <w:color w:val="auto"/>
          <w:sz w:val="32"/>
          <w:szCs w:val="32"/>
          <w:highlight w:val="none"/>
        </w:rPr>
        <w:t>二、供应商资格证明材料</w:t>
      </w:r>
    </w:p>
    <w:p w14:paraId="400AE03D">
      <w:pPr>
        <w:tabs>
          <w:tab w:val="left" w:pos="4725"/>
        </w:tabs>
        <w:adjustRightInd w:val="0"/>
        <w:snapToGrid w:val="0"/>
        <w:spacing w:before="158" w:line="360" w:lineRule="auto"/>
        <w:ind w:firstLine="420" w:firstLineChars="200"/>
        <w:rPr>
          <w:rFonts w:ascii="宋体" w:hAnsi="宋体"/>
          <w:color w:val="auto"/>
          <w:szCs w:val="21"/>
          <w:highlight w:val="none"/>
        </w:rPr>
      </w:pPr>
    </w:p>
    <w:p w14:paraId="27EC7D3E">
      <w:pPr>
        <w:pStyle w:val="13"/>
        <w:ind w:left="1935" w:hanging="1095"/>
        <w:jc w:val="center"/>
        <w:rPr>
          <w:rFonts w:hAnsi="宋体" w:cs="Times New Roman"/>
          <w:b/>
          <w:bCs/>
          <w:color w:val="auto"/>
          <w:sz w:val="24"/>
          <w:szCs w:val="24"/>
          <w:highlight w:val="none"/>
        </w:rPr>
      </w:pPr>
      <w:r>
        <w:rPr>
          <w:rFonts w:hint="eastAsia" w:hAnsi="宋体" w:cs="Times New Roman"/>
          <w:b/>
          <w:bCs/>
          <w:color w:val="auto"/>
          <w:sz w:val="24"/>
          <w:szCs w:val="24"/>
          <w:highlight w:val="none"/>
        </w:rPr>
        <w:t>填写须知</w:t>
      </w:r>
    </w:p>
    <w:p w14:paraId="29E381B5">
      <w:pPr>
        <w:adjustRightInd w:val="0"/>
        <w:snapToGrid w:val="0"/>
        <w:spacing w:beforeLines="50" w:line="360" w:lineRule="auto"/>
        <w:rPr>
          <w:rFonts w:ascii="宋体" w:hAnsi="宋体"/>
          <w:b/>
          <w:bCs/>
          <w:color w:val="auto"/>
          <w:szCs w:val="21"/>
          <w:highlight w:val="none"/>
        </w:rPr>
      </w:pPr>
      <w:r>
        <w:rPr>
          <w:rFonts w:hint="eastAsia" w:ascii="宋体" w:hAnsi="宋体"/>
          <w:b/>
          <w:bCs/>
          <w:color w:val="auto"/>
          <w:szCs w:val="21"/>
          <w:highlight w:val="none"/>
        </w:rPr>
        <w:t>一、</w:t>
      </w:r>
      <w:r>
        <w:rPr>
          <w:rFonts w:hint="eastAsia" w:ascii="宋体" w:hAnsi="宋体"/>
          <w:b/>
          <w:color w:val="auto"/>
          <w:szCs w:val="21"/>
          <w:highlight w:val="none"/>
        </w:rPr>
        <w:t>供应商</w:t>
      </w:r>
      <w:r>
        <w:rPr>
          <w:rFonts w:hint="eastAsia" w:ascii="宋体" w:hAnsi="宋体"/>
          <w:b/>
          <w:bCs/>
          <w:color w:val="auto"/>
          <w:szCs w:val="21"/>
          <w:highlight w:val="none"/>
        </w:rPr>
        <w:t>有下列情形之一的，视为无效响应：</w:t>
      </w:r>
    </w:p>
    <w:p w14:paraId="4F1E5A58">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（一）有一项资格证明文件未提交的；</w:t>
      </w:r>
    </w:p>
    <w:p w14:paraId="2C411B7C">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（二）提供不符合要求或虚假资格证明文件的；</w:t>
      </w:r>
    </w:p>
    <w:p w14:paraId="7EC94751">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（三）资格证明文件过了有效期的；</w:t>
      </w:r>
    </w:p>
    <w:p w14:paraId="3AF509E1">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（四）资格证明文件复印件未加盖供应商公章的。</w:t>
      </w:r>
    </w:p>
    <w:p w14:paraId="4947ED53">
      <w:pPr>
        <w:tabs>
          <w:tab w:val="left" w:pos="4725"/>
        </w:tabs>
        <w:adjustRightInd w:val="0"/>
        <w:snapToGrid w:val="0"/>
        <w:spacing w:beforeLines="50" w:line="360" w:lineRule="auto"/>
        <w:rPr>
          <w:rFonts w:ascii="宋体" w:hAnsi="宋体"/>
          <w:b/>
          <w:bCs/>
          <w:color w:val="auto"/>
          <w:szCs w:val="21"/>
          <w:highlight w:val="none"/>
        </w:rPr>
      </w:pPr>
      <w:r>
        <w:rPr>
          <w:rFonts w:hint="eastAsia" w:ascii="宋体" w:hAnsi="宋体"/>
          <w:b/>
          <w:bCs/>
          <w:color w:val="auto"/>
          <w:szCs w:val="21"/>
          <w:highlight w:val="none"/>
        </w:rPr>
        <w:t>二、</w:t>
      </w:r>
      <w:r>
        <w:rPr>
          <w:rFonts w:hint="eastAsia" w:ascii="宋体" w:hAnsi="宋体"/>
          <w:b/>
          <w:color w:val="auto"/>
          <w:szCs w:val="21"/>
          <w:highlight w:val="none"/>
        </w:rPr>
        <w:t>供应商</w:t>
      </w:r>
      <w:r>
        <w:rPr>
          <w:rFonts w:hint="eastAsia" w:ascii="宋体" w:hAnsi="宋体"/>
          <w:b/>
          <w:bCs/>
          <w:color w:val="auto"/>
          <w:szCs w:val="21"/>
          <w:highlight w:val="none"/>
        </w:rPr>
        <w:t>应提供的证明材料</w:t>
      </w:r>
    </w:p>
    <w:p w14:paraId="5A88B5C0">
      <w:pPr>
        <w:tabs>
          <w:tab w:val="left" w:pos="4725"/>
        </w:tabs>
        <w:adjustRightInd w:val="0"/>
        <w:snapToGrid w:val="0"/>
        <w:spacing w:before="158" w:line="360" w:lineRule="auto"/>
        <w:ind w:firstLine="420" w:firstLineChars="200"/>
        <w:rPr>
          <w:rFonts w:ascii="宋体" w:hAns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提供下列证明材料，以满足第二章“供应商须知”第3.1</w:t>
      </w:r>
      <w:r>
        <w:rPr>
          <w:rFonts w:hint="eastAsia" w:ascii="宋体" w:hAnsi="宋体"/>
          <w:bCs/>
          <w:color w:val="auto"/>
          <w:szCs w:val="21"/>
          <w:highlight w:val="none"/>
          <w:lang w:val="zh-CN"/>
        </w:rPr>
        <w:t>款</w:t>
      </w:r>
      <w:r>
        <w:rPr>
          <w:rFonts w:hint="eastAsia" w:ascii="宋体" w:hAnsi="宋体"/>
          <w:bCs/>
          <w:color w:val="auto"/>
          <w:szCs w:val="21"/>
          <w:highlight w:val="none"/>
        </w:rPr>
        <w:t>规定的供应商的资格要求：</w:t>
      </w:r>
    </w:p>
    <w:p w14:paraId="1AAB60E5">
      <w:pPr>
        <w:adjustRightInd w:val="0"/>
        <w:snapToGrid w:val="0"/>
        <w:spacing w:before="158" w:line="360" w:lineRule="auto"/>
        <w:ind w:firstLine="420" w:firstLineChars="200"/>
        <w:rPr>
          <w:rFonts w:ascii="宋体" w:hAnsi="宋体"/>
          <w:color w:val="auto"/>
          <w:szCs w:val="21"/>
          <w:highlight w:val="none"/>
        </w:rPr>
      </w:pPr>
      <w:r>
        <w:rPr>
          <w:rFonts w:hint="eastAsia" w:ascii="宋体" w:hAnsi="宋体"/>
          <w:color w:val="auto"/>
          <w:szCs w:val="21"/>
          <w:highlight w:val="none"/>
        </w:rPr>
        <w:t>附件1、法定代表人身份证明或附有法定代表人身份证明的授权委托书</w:t>
      </w:r>
    </w:p>
    <w:p w14:paraId="79ABC9DE">
      <w:pPr>
        <w:adjustRightInd w:val="0"/>
        <w:snapToGrid w:val="0"/>
        <w:spacing w:before="158"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附件2、营业执照复印件</w:t>
      </w:r>
      <w:r>
        <w:rPr>
          <w:rFonts w:hint="eastAsia" w:ascii="宋体" w:hAnsi="宋体"/>
          <w:color w:val="auto"/>
          <w:szCs w:val="21"/>
          <w:highlight w:val="none"/>
          <w:lang w:eastAsia="zh-CN"/>
        </w:rPr>
        <w:t>、开户许可证</w:t>
      </w:r>
    </w:p>
    <w:p w14:paraId="64E7C060">
      <w:pPr>
        <w:adjustRightInd w:val="0"/>
        <w:snapToGrid w:val="0"/>
        <w:spacing w:line="360" w:lineRule="auto"/>
        <w:outlineLvl w:val="0"/>
        <w:rPr>
          <w:rFonts w:ascii="黑体" w:hAnsi="华文中宋" w:eastAsia="黑体"/>
          <w:color w:val="auto"/>
          <w:sz w:val="28"/>
          <w:szCs w:val="28"/>
          <w:highlight w:val="none"/>
        </w:rPr>
      </w:pPr>
      <w:r>
        <w:rPr>
          <w:rFonts w:ascii="黑体" w:hAnsi="华文中宋" w:eastAsia="黑体"/>
          <w:bCs/>
          <w:color w:val="auto"/>
          <w:sz w:val="28"/>
          <w:szCs w:val="28"/>
          <w:highlight w:val="none"/>
        </w:rPr>
        <w:br w:type="page"/>
      </w:r>
      <w:r>
        <w:rPr>
          <w:rFonts w:hint="eastAsia" w:ascii="黑体" w:hAnsi="华文中宋" w:eastAsia="黑体"/>
          <w:color w:val="auto"/>
          <w:sz w:val="28"/>
          <w:szCs w:val="28"/>
          <w:highlight w:val="none"/>
        </w:rPr>
        <w:t xml:space="preserve">附件1  </w:t>
      </w:r>
    </w:p>
    <w:p w14:paraId="17F04124">
      <w:pPr>
        <w:adjustRightInd w:val="0"/>
        <w:snapToGrid w:val="0"/>
        <w:spacing w:line="360" w:lineRule="auto"/>
        <w:jc w:val="center"/>
        <w:outlineLvl w:val="0"/>
        <w:rPr>
          <w:rFonts w:ascii="黑体" w:hAnsi="华文中宋" w:eastAsia="黑体"/>
          <w:color w:val="auto"/>
          <w:sz w:val="28"/>
          <w:szCs w:val="28"/>
          <w:highlight w:val="none"/>
        </w:rPr>
      </w:pPr>
      <w:r>
        <w:rPr>
          <w:rFonts w:hint="eastAsia" w:ascii="黑体" w:hAnsi="华文中宋" w:eastAsia="黑体"/>
          <w:color w:val="auto"/>
          <w:sz w:val="28"/>
          <w:szCs w:val="28"/>
          <w:highlight w:val="none"/>
        </w:rPr>
        <w:t>法定代表人身份证明或附有法定代表人身份证明的授权委托书</w:t>
      </w:r>
    </w:p>
    <w:p w14:paraId="7D067D90">
      <w:pPr>
        <w:adjustRightInd w:val="0"/>
        <w:snapToGrid w:val="0"/>
        <w:spacing w:line="360" w:lineRule="auto"/>
        <w:jc w:val="center"/>
        <w:outlineLvl w:val="0"/>
        <w:rPr>
          <w:rFonts w:ascii="黑体" w:hAnsi="华文中宋" w:eastAsia="黑体"/>
          <w:color w:val="auto"/>
          <w:sz w:val="32"/>
          <w:szCs w:val="32"/>
          <w:highlight w:val="none"/>
        </w:rPr>
      </w:pPr>
      <w:r>
        <w:rPr>
          <w:rFonts w:hint="eastAsia" w:ascii="黑体" w:hAnsi="华文中宋" w:eastAsia="黑体"/>
          <w:color w:val="auto"/>
          <w:sz w:val="28"/>
          <w:szCs w:val="28"/>
          <w:highlight w:val="none"/>
        </w:rPr>
        <w:t>附件1-1法定代表人授权委托书</w:t>
      </w:r>
    </w:p>
    <w:p w14:paraId="2AC56E96">
      <w:pPr>
        <w:autoSpaceDE w:val="0"/>
        <w:autoSpaceDN w:val="0"/>
        <w:adjustRightInd w:val="0"/>
        <w:snapToGrid w:val="0"/>
        <w:spacing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（项目名称）响应文件、签订合同和处理有关事宜，其法律后果由我方承担。</w:t>
      </w:r>
    </w:p>
    <w:p w14:paraId="1EC36EA8">
      <w:pPr>
        <w:autoSpaceDE w:val="0"/>
        <w:autoSpaceDN w:val="0"/>
        <w:adjustRightInd w:val="0"/>
        <w:snapToGrid w:val="0"/>
        <w:spacing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B3CFDF7">
      <w:pPr>
        <w:adjustRightInd w:val="0"/>
        <w:snapToGrid w:val="0"/>
        <w:spacing w:beforeLines="50"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7931E32F">
      <w:pPr>
        <w:adjustRightInd w:val="0"/>
        <w:snapToGrid w:val="0"/>
        <w:spacing w:beforeLines="50" w:line="360" w:lineRule="auto"/>
        <w:ind w:firstLine="435"/>
        <w:rPr>
          <w:rFonts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14:paraId="13BF2D51">
      <w:pPr>
        <w:adjustRightInd w:val="0"/>
        <w:snapToGrid w:val="0"/>
        <w:spacing w:beforeLines="50" w:line="360" w:lineRule="auto"/>
        <w:ind w:firstLine="420" w:firstLineChars="200"/>
        <w:rPr>
          <w:rFonts w:ascii="宋体" w:hAnsi="宋体"/>
          <w:color w:val="auto"/>
          <w:szCs w:val="21"/>
          <w:highlight w:val="none"/>
        </w:rPr>
      </w:pPr>
    </w:p>
    <w:tbl>
      <w:tblPr>
        <w:tblStyle w:val="19"/>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70D7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2ABA8A9F">
            <w:pPr>
              <w:adjustRightInd w:val="0"/>
              <w:snapToGrid w:val="0"/>
              <w:spacing w:beforeLines="50" w:line="360" w:lineRule="auto"/>
              <w:jc w:val="center"/>
              <w:rPr>
                <w:rFonts w:ascii="宋体" w:hAnsi="宋体"/>
                <w:color w:val="auto"/>
                <w:szCs w:val="21"/>
                <w:highlight w:val="none"/>
              </w:rPr>
            </w:pPr>
            <w:r>
              <w:rPr>
                <w:rFonts w:hint="eastAsia" w:ascii="宋体" w:hAnsi="宋体"/>
                <w:color w:val="auto"/>
                <w:szCs w:val="21"/>
                <w:highlight w:val="none"/>
              </w:rPr>
              <w:t>委托代理人身份证正面、背面复印件</w:t>
            </w:r>
          </w:p>
        </w:tc>
      </w:tr>
    </w:tbl>
    <w:p w14:paraId="1016FF62">
      <w:pPr>
        <w:adjustRightInd w:val="0"/>
        <w:snapToGrid w:val="0"/>
        <w:spacing w:beforeLines="50"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附：法定代表人身份证明</w:t>
      </w:r>
    </w:p>
    <w:p w14:paraId="26B13128">
      <w:pPr>
        <w:adjustRightInd w:val="0"/>
        <w:snapToGrid w:val="0"/>
        <w:spacing w:beforeLines="50" w:line="360" w:lineRule="auto"/>
        <w:rPr>
          <w:rFonts w:ascii="宋体" w:hAnsi="宋体"/>
          <w:color w:val="auto"/>
          <w:szCs w:val="21"/>
          <w:highlight w:val="none"/>
        </w:rPr>
      </w:pPr>
    </w:p>
    <w:p w14:paraId="77BDF061">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供应商名称（单位章）：</w:t>
      </w:r>
      <w:r>
        <w:rPr>
          <w:rFonts w:hint="eastAsia" w:ascii="宋体" w:hAnsi="宋体"/>
          <w:color w:val="auto"/>
          <w:szCs w:val="21"/>
          <w:highlight w:val="none"/>
          <w:u w:val="single"/>
        </w:rPr>
        <w:t xml:space="preserve">                   </w:t>
      </w:r>
    </w:p>
    <w:p w14:paraId="0613A98D">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u w:val="single"/>
        </w:rPr>
        <w:t xml:space="preserve">                     </w:t>
      </w:r>
    </w:p>
    <w:p w14:paraId="006C3881">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olor w:val="auto"/>
          <w:szCs w:val="21"/>
          <w:highlight w:val="none"/>
          <w:u w:val="single"/>
        </w:rPr>
        <w:t xml:space="preserve">                     </w:t>
      </w:r>
    </w:p>
    <w:p w14:paraId="2A6665F3">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781D641">
      <w:pPr>
        <w:adjustRightInd w:val="0"/>
        <w:snapToGrid w:val="0"/>
        <w:spacing w:beforeLines="50" w:line="360" w:lineRule="auto"/>
        <w:ind w:right="420"/>
        <w:rPr>
          <w:rFonts w:ascii="宋体" w:hAnsi="宋体"/>
          <w:color w:val="auto"/>
          <w:szCs w:val="21"/>
          <w:highlight w:val="none"/>
        </w:rPr>
      </w:pPr>
    </w:p>
    <w:p w14:paraId="3D2E54D9">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t>（注：此表除响应文件中须提供外，响应文件递交现场还须另备一份，不装入响应文件，与项目响应文件同时分别递交，否则视为无效响应。）</w:t>
      </w:r>
    </w:p>
    <w:p w14:paraId="4A047B92">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br w:type="page"/>
      </w:r>
    </w:p>
    <w:p w14:paraId="1EE2AA99">
      <w:pPr>
        <w:adjustRightInd w:val="0"/>
        <w:snapToGrid w:val="0"/>
        <w:spacing w:line="360" w:lineRule="auto"/>
        <w:jc w:val="center"/>
        <w:outlineLvl w:val="0"/>
        <w:rPr>
          <w:rFonts w:ascii="黑体" w:hAnsi="华文中宋" w:eastAsia="黑体"/>
          <w:b/>
          <w:color w:val="auto"/>
          <w:sz w:val="28"/>
          <w:szCs w:val="28"/>
          <w:highlight w:val="none"/>
        </w:rPr>
      </w:pPr>
      <w:r>
        <w:rPr>
          <w:rFonts w:hint="eastAsia" w:ascii="黑体" w:hAnsi="华文中宋" w:eastAsia="黑体"/>
          <w:color w:val="auto"/>
          <w:sz w:val="28"/>
          <w:szCs w:val="28"/>
          <w:highlight w:val="none"/>
        </w:rPr>
        <w:t>附件1-2法定代表人身份证明</w:t>
      </w:r>
    </w:p>
    <w:p w14:paraId="0C82280E">
      <w:pPr>
        <w:adjustRightInd w:val="0"/>
        <w:snapToGrid w:val="0"/>
        <w:spacing w:beforeLines="50" w:line="360" w:lineRule="auto"/>
        <w:rPr>
          <w:rFonts w:ascii="宋体" w:hAnsi="宋体"/>
          <w:color w:val="auto"/>
          <w:szCs w:val="21"/>
          <w:highlight w:val="none"/>
        </w:rPr>
      </w:pPr>
    </w:p>
    <w:p w14:paraId="3785E0EC">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604D14AF">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1CA6AB3">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4FBB1685">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成立时间：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w:t>
      </w:r>
    </w:p>
    <w:p w14:paraId="47005B4C">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5010422">
      <w:pPr>
        <w:autoSpaceDE w:val="0"/>
        <w:autoSpaceDN w:val="0"/>
        <w:adjustRightInd w:val="0"/>
        <w:snapToGrid w:val="0"/>
        <w:spacing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4CEF4A9A">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w:t>
      </w:r>
    </w:p>
    <w:p w14:paraId="76D7AA28">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63099F0F">
      <w:pPr>
        <w:autoSpaceDE w:val="0"/>
        <w:autoSpaceDN w:val="0"/>
        <w:adjustRightInd w:val="0"/>
        <w:snapToGrid w:val="0"/>
        <w:spacing w:beforeLines="50" w:line="360" w:lineRule="auto"/>
        <w:jc w:val="left"/>
        <w:rPr>
          <w:rFonts w:ascii="宋体" w:hAnsi="宋体" w:cs="宋体"/>
          <w:color w:val="auto"/>
          <w:kern w:val="0"/>
          <w:szCs w:val="21"/>
          <w:highlight w:val="none"/>
        </w:rPr>
      </w:pPr>
    </w:p>
    <w:tbl>
      <w:tblPr>
        <w:tblStyle w:val="19"/>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5B383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4469EBA1">
            <w:pPr>
              <w:adjustRightInd w:val="0"/>
              <w:snapToGrid w:val="0"/>
              <w:spacing w:beforeLines="50" w:line="360" w:lineRule="auto"/>
              <w:jc w:val="center"/>
              <w:rPr>
                <w:rFonts w:ascii="宋体" w:hAnsi="宋体"/>
                <w:color w:val="auto"/>
                <w:szCs w:val="21"/>
                <w:highlight w:val="none"/>
              </w:rPr>
            </w:pPr>
            <w:r>
              <w:rPr>
                <w:rFonts w:hint="eastAsia" w:ascii="宋体" w:hAnsi="宋体"/>
                <w:color w:val="auto"/>
                <w:szCs w:val="21"/>
                <w:highlight w:val="none"/>
              </w:rPr>
              <w:t>法定代表人身份证正面、背面复印件</w:t>
            </w:r>
          </w:p>
        </w:tc>
      </w:tr>
    </w:tbl>
    <w:p w14:paraId="3EE32309">
      <w:pPr>
        <w:adjustRightInd w:val="0"/>
        <w:snapToGrid w:val="0"/>
        <w:spacing w:beforeLines="50" w:line="360" w:lineRule="auto"/>
        <w:rPr>
          <w:rFonts w:ascii="宋体" w:hAnsi="宋体"/>
          <w:color w:val="auto"/>
          <w:szCs w:val="21"/>
          <w:highlight w:val="none"/>
        </w:rPr>
      </w:pPr>
    </w:p>
    <w:p w14:paraId="4E7B7F0E">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供应商名称（单位章）：</w:t>
      </w:r>
      <w:r>
        <w:rPr>
          <w:rFonts w:hint="eastAsia" w:ascii="宋体" w:hAnsi="宋体"/>
          <w:color w:val="auto"/>
          <w:szCs w:val="21"/>
          <w:highlight w:val="none"/>
          <w:u w:val="single"/>
        </w:rPr>
        <w:t xml:space="preserve">                   </w:t>
      </w:r>
    </w:p>
    <w:p w14:paraId="06D2FB49">
      <w:pPr>
        <w:adjustRightInd w:val="0"/>
        <w:snapToGrid w:val="0"/>
        <w:spacing w:line="360" w:lineRule="auto"/>
        <w:outlineLvl w:val="0"/>
        <w:rPr>
          <w:rFonts w:ascii="宋体" w:hAnsi="宋体"/>
          <w:color w:val="auto"/>
          <w:szCs w:val="21"/>
          <w:highlight w:val="none"/>
        </w:rPr>
      </w:pPr>
    </w:p>
    <w:p w14:paraId="60E9F2A7">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28EC45A9">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 xml:space="preserve">   </w:t>
      </w:r>
    </w:p>
    <w:p w14:paraId="6EE35C51">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t>（注：此表除响应文件中须提供外，响应文件递交现场还须另备一份，不装入响应文件，与项目响应文件同时分别递交，否则视为无效响应。）</w:t>
      </w:r>
    </w:p>
    <w:p w14:paraId="566A1FFA">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br w:type="page"/>
      </w:r>
    </w:p>
    <w:p w14:paraId="4D335FF6">
      <w:pPr>
        <w:adjustRightInd w:val="0"/>
        <w:snapToGrid w:val="0"/>
        <w:spacing w:beforeLines="50" w:line="360" w:lineRule="auto"/>
        <w:ind w:right="420"/>
        <w:rPr>
          <w:rFonts w:ascii="黑体" w:hAnsi="华文中宋" w:eastAsia="黑体"/>
          <w:color w:val="auto"/>
          <w:sz w:val="28"/>
          <w:szCs w:val="28"/>
          <w:highlight w:val="none"/>
        </w:rPr>
      </w:pPr>
      <w:r>
        <w:rPr>
          <w:rFonts w:hint="eastAsia" w:ascii="黑体" w:hAnsi="华文中宋" w:eastAsia="黑体"/>
          <w:color w:val="auto"/>
          <w:sz w:val="28"/>
          <w:szCs w:val="28"/>
          <w:highlight w:val="none"/>
        </w:rPr>
        <w:t>附件2</w:t>
      </w:r>
    </w:p>
    <w:p w14:paraId="15392B2F">
      <w:pPr>
        <w:adjustRightInd w:val="0"/>
        <w:snapToGrid w:val="0"/>
        <w:spacing w:beforeLines="50" w:line="360" w:lineRule="auto"/>
        <w:ind w:right="42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t>营业执照复印件</w:t>
      </w:r>
    </w:p>
    <w:p w14:paraId="15BF18BB">
      <w:pPr>
        <w:adjustRightInd w:val="0"/>
        <w:snapToGrid w:val="0"/>
        <w:spacing w:beforeLines="50" w:line="360" w:lineRule="auto"/>
        <w:ind w:right="420"/>
        <w:jc w:val="center"/>
        <w:rPr>
          <w:rFonts w:hint="eastAsia" w:ascii="黑体" w:hAnsi="华文中宋" w:eastAsia="黑体"/>
          <w:color w:val="auto"/>
          <w:sz w:val="28"/>
          <w:szCs w:val="28"/>
          <w:highlight w:val="none"/>
          <w:lang w:eastAsia="zh-CN"/>
        </w:rPr>
      </w:pPr>
      <w:r>
        <w:rPr>
          <w:rFonts w:hint="eastAsia" w:ascii="黑体" w:hAnsi="华文中宋" w:eastAsia="黑体"/>
          <w:color w:val="auto"/>
          <w:sz w:val="28"/>
          <w:szCs w:val="28"/>
          <w:highlight w:val="none"/>
          <w:lang w:eastAsia="zh-CN"/>
        </w:rPr>
        <w:t>开户许可证（基本户信息表）</w:t>
      </w:r>
    </w:p>
    <w:p w14:paraId="4D51A94F">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br w:type="page"/>
      </w:r>
    </w:p>
    <w:p w14:paraId="22012254">
      <w:pPr>
        <w:adjustRightInd w:val="0"/>
        <w:snapToGrid w:val="0"/>
        <w:spacing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三、报价一览表及报价文件</w:t>
      </w:r>
    </w:p>
    <w:p w14:paraId="46F20369">
      <w:pPr>
        <w:adjustRightInd w:val="0"/>
        <w:snapToGrid w:val="0"/>
        <w:rPr>
          <w:rFonts w:ascii="宋体" w:hAnsi="宋体"/>
          <w:color w:val="auto"/>
          <w:szCs w:val="21"/>
          <w:highlight w:val="none"/>
        </w:rPr>
      </w:pPr>
    </w:p>
    <w:tbl>
      <w:tblPr>
        <w:tblStyle w:val="19"/>
        <w:tblW w:w="90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340"/>
        <w:gridCol w:w="1661"/>
        <w:gridCol w:w="885"/>
        <w:gridCol w:w="855"/>
        <w:gridCol w:w="1485"/>
        <w:gridCol w:w="765"/>
      </w:tblGrid>
      <w:tr w14:paraId="4E16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71" w:type="dxa"/>
            <w:gridSpan w:val="7"/>
            <w:tcBorders>
              <w:top w:val="nil"/>
              <w:left w:val="nil"/>
              <w:bottom w:val="nil"/>
              <w:right w:val="nil"/>
            </w:tcBorders>
            <w:shd w:val="clear" w:color="auto" w:fill="auto"/>
            <w:noWrap/>
            <w:vAlign w:val="center"/>
          </w:tcPr>
          <w:p w14:paraId="607500FA">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钢筋报价一览表</w:t>
            </w:r>
          </w:p>
        </w:tc>
      </w:tr>
      <w:tr w14:paraId="1492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7"/>
            <w:tcBorders>
              <w:top w:val="nil"/>
              <w:left w:val="nil"/>
              <w:bottom w:val="nil"/>
              <w:right w:val="nil"/>
            </w:tcBorders>
            <w:shd w:val="clear" w:color="auto" w:fill="auto"/>
            <w:noWrap/>
            <w:vAlign w:val="center"/>
          </w:tcPr>
          <w:p w14:paraId="76F5E2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项目名称：株洲北斗应用与信息技术产业示范基地配套基础设施项目(一期)</w:t>
            </w:r>
          </w:p>
        </w:tc>
      </w:tr>
      <w:tr w14:paraId="2F1E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9F2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比选单位</w:t>
            </w:r>
          </w:p>
        </w:tc>
        <w:tc>
          <w:tcPr>
            <w:tcW w:w="5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AC620">
            <w:pPr>
              <w:jc w:val="left"/>
              <w:rPr>
                <w:rFonts w:hint="eastAsia" w:ascii="宋体" w:hAnsi="宋体" w:eastAsia="宋体" w:cs="宋体"/>
                <w:i w:val="0"/>
                <w:iCs w:val="0"/>
                <w:color w:val="auto"/>
                <w:sz w:val="20"/>
                <w:szCs w:val="20"/>
                <w:highlight w:val="none"/>
                <w:u w:val="none"/>
              </w:rPr>
            </w:pPr>
          </w:p>
        </w:tc>
      </w:tr>
      <w:tr w14:paraId="6977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A55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送货时间</w:t>
            </w:r>
          </w:p>
        </w:tc>
        <w:tc>
          <w:tcPr>
            <w:tcW w:w="5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AF2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以甲方通知时间为准</w:t>
            </w:r>
          </w:p>
        </w:tc>
      </w:tr>
      <w:tr w14:paraId="1C86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861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结算方式</w:t>
            </w:r>
          </w:p>
        </w:tc>
        <w:tc>
          <w:tcPr>
            <w:tcW w:w="5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0A2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月结算，结算以后提供上月供应材料的发票，双方约定每月6日前为甲、乙双方材料对账日，对账期为上月1日至本月31日；凡超过当期对账日5天未进行对账的送货单，均为无效送货单，乙方自愿放弃对该送货单进行结算。</w:t>
            </w:r>
          </w:p>
        </w:tc>
      </w:tr>
      <w:tr w14:paraId="420B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83A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磅差计算</w:t>
            </w:r>
          </w:p>
        </w:tc>
        <w:tc>
          <w:tcPr>
            <w:tcW w:w="5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394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过磅数量超过乙方送货单的数量时，按送货单结算；当实际数量少于送货单数量超过千分之三时（包含3‰），当月所有送货量按最少的数量进行结算</w:t>
            </w:r>
          </w:p>
        </w:tc>
      </w:tr>
      <w:tr w14:paraId="17C1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652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ascii="宋体" w:hAnsi="宋体" w:eastAsia="宋体" w:cs="宋体"/>
                <w:color w:val="auto"/>
                <w:kern w:val="0"/>
                <w:sz w:val="20"/>
                <w:szCs w:val="20"/>
                <w:highlight w:val="none"/>
                <w:lang w:val="en-US" w:eastAsia="zh-CN" w:bidi="ar"/>
              </w:rPr>
              <w:t>拟投品牌</w:t>
            </w:r>
            <w:r>
              <w:rPr>
                <w:rFonts w:hint="eastAsia" w:ascii="宋体" w:hAnsi="宋体" w:cs="宋体"/>
                <w:color w:val="auto"/>
                <w:kern w:val="0"/>
                <w:sz w:val="20"/>
                <w:szCs w:val="20"/>
                <w:highlight w:val="none"/>
                <w:lang w:val="en-US" w:eastAsia="zh-CN" w:bidi="ar"/>
              </w:rPr>
              <w:t>（</w:t>
            </w:r>
            <w:r>
              <w:rPr>
                <w:rFonts w:ascii="宋体" w:hAnsi="宋体" w:eastAsia="宋体" w:cs="宋体"/>
                <w:color w:val="auto"/>
                <w:kern w:val="0"/>
                <w:sz w:val="20"/>
                <w:szCs w:val="20"/>
                <w:highlight w:val="none"/>
                <w:lang w:val="en-US" w:eastAsia="zh-CN" w:bidi="ar"/>
              </w:rPr>
              <w:t>只能勾选一项</w:t>
            </w:r>
            <w:r>
              <w:rPr>
                <w:rFonts w:hint="eastAsia" w:ascii="宋体" w:hAnsi="宋体" w:cs="宋体"/>
                <w:color w:val="auto"/>
                <w:kern w:val="0"/>
                <w:sz w:val="20"/>
                <w:szCs w:val="20"/>
                <w:highlight w:val="none"/>
                <w:lang w:val="en-US" w:eastAsia="zh-CN" w:bidi="ar"/>
              </w:rPr>
              <w:t>）</w:t>
            </w:r>
          </w:p>
        </w:tc>
        <w:tc>
          <w:tcPr>
            <w:tcW w:w="5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D8570">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color w:val="auto"/>
                <w:kern w:val="0"/>
                <w:sz w:val="20"/>
                <w:szCs w:val="20"/>
                <w:highlight w:val="none"/>
                <w:lang w:val="en-US" w:eastAsia="zh-CN" w:bidi="ar"/>
              </w:rPr>
              <w:t>□</w:t>
            </w:r>
            <w:r>
              <w:rPr>
                <w:rFonts w:ascii="宋体" w:hAnsi="宋体" w:eastAsia="宋体" w:cs="宋体"/>
                <w:color w:val="auto"/>
                <w:kern w:val="0"/>
                <w:sz w:val="20"/>
                <w:szCs w:val="20"/>
                <w:highlight w:val="none"/>
                <w:lang w:val="en-US" w:eastAsia="zh-CN" w:bidi="ar"/>
              </w:rPr>
              <w:t>湘钢 □萍钢 □涟钢</w:t>
            </w:r>
            <w:r>
              <w:rPr>
                <w:rFonts w:hint="eastAsia" w:ascii="宋体" w:hAnsi="宋体" w:cs="宋体"/>
                <w:color w:val="auto"/>
                <w:kern w:val="0"/>
                <w:sz w:val="20"/>
                <w:szCs w:val="20"/>
                <w:highlight w:val="none"/>
                <w:lang w:val="en-US" w:eastAsia="zh-CN" w:bidi="ar"/>
              </w:rPr>
              <w:t xml:space="preserve">  </w:t>
            </w:r>
          </w:p>
        </w:tc>
      </w:tr>
      <w:tr w14:paraId="4DC6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BA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AD2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建材名称</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2E3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暂估工程量</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432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210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1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ascii="宋体" w:hAnsi="宋体" w:eastAsia="宋体" w:cs="宋体"/>
                <w:color w:val="auto"/>
                <w:kern w:val="0"/>
                <w:sz w:val="20"/>
                <w:szCs w:val="20"/>
                <w:highlight w:val="none"/>
                <w:lang w:val="en-US" w:eastAsia="zh-CN" w:bidi="ar"/>
              </w:rPr>
              <w:t>价格下浮</w:t>
            </w:r>
            <w:r>
              <w:rPr>
                <w:rFonts w:hint="eastAsia" w:ascii="宋体" w:hAnsi="宋体" w:cs="宋体"/>
                <w:color w:val="auto"/>
                <w:kern w:val="0"/>
                <w:sz w:val="20"/>
                <w:szCs w:val="20"/>
                <w:highlight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t>(含税)</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90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14:paraId="18EE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45BF">
            <w:pPr>
              <w:jc w:val="center"/>
              <w:rPr>
                <w:rFonts w:hint="eastAsia" w:ascii="宋体" w:hAnsi="宋体" w:eastAsia="宋体" w:cs="宋体"/>
                <w:i w:val="0"/>
                <w:iCs w:val="0"/>
                <w:color w:val="auto"/>
                <w:sz w:val="20"/>
                <w:szCs w:val="20"/>
                <w:highlight w:val="none"/>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414BD">
            <w:pPr>
              <w:jc w:val="center"/>
              <w:rPr>
                <w:rFonts w:hint="eastAsia" w:ascii="宋体" w:hAnsi="宋体" w:eastAsia="宋体" w:cs="宋体"/>
                <w:i w:val="0"/>
                <w:iCs w:val="0"/>
                <w:color w:val="auto"/>
                <w:sz w:val="20"/>
                <w:szCs w:val="20"/>
                <w:highlight w:val="none"/>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7A373">
            <w:pPr>
              <w:jc w:val="center"/>
              <w:rPr>
                <w:rFonts w:hint="eastAsia" w:ascii="宋体" w:hAnsi="宋体" w:eastAsia="宋体" w:cs="宋体"/>
                <w:i w:val="0"/>
                <w:iCs w:val="0"/>
                <w:color w:val="auto"/>
                <w:sz w:val="20"/>
                <w:szCs w:val="20"/>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A0022">
            <w:pPr>
              <w:jc w:val="center"/>
              <w:rPr>
                <w:rFonts w:hint="eastAsia" w:ascii="宋体" w:hAnsi="宋体" w:eastAsia="宋体" w:cs="宋体"/>
                <w:i w:val="0"/>
                <w:iCs w:val="0"/>
                <w:color w:val="auto"/>
                <w:sz w:val="20"/>
                <w:szCs w:val="20"/>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3597">
            <w:pPr>
              <w:jc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7F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4893">
            <w:pPr>
              <w:jc w:val="center"/>
              <w:rPr>
                <w:rFonts w:hint="eastAsia" w:ascii="宋体" w:hAnsi="宋体" w:eastAsia="宋体" w:cs="宋体"/>
                <w:i w:val="0"/>
                <w:iCs w:val="0"/>
                <w:color w:val="auto"/>
                <w:sz w:val="20"/>
                <w:szCs w:val="20"/>
                <w:highlight w:val="none"/>
                <w:u w:val="none"/>
              </w:rPr>
            </w:pPr>
          </w:p>
        </w:tc>
      </w:tr>
      <w:tr w14:paraId="234F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95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D2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圆钢φ6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CB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1.372</w:t>
            </w:r>
          </w:p>
        </w:tc>
        <w:tc>
          <w:tcPr>
            <w:tcW w:w="885" w:type="dxa"/>
            <w:vMerge w:val="restart"/>
            <w:tcBorders>
              <w:top w:val="single" w:color="000000" w:sz="4" w:space="0"/>
              <w:left w:val="single" w:color="000000" w:sz="4" w:space="0"/>
              <w:bottom w:val="nil"/>
              <w:right w:val="single" w:color="000000" w:sz="4" w:space="0"/>
            </w:tcBorders>
            <w:shd w:val="clear" w:color="auto" w:fill="auto"/>
            <w:vAlign w:val="center"/>
          </w:tcPr>
          <w:p w14:paraId="12F83C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068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E346">
            <w:pPr>
              <w:jc w:val="center"/>
              <w:rPr>
                <w:rFonts w:hint="eastAsia" w:ascii="宋体" w:hAnsi="宋体" w:eastAsia="宋体" w:cs="宋体"/>
                <w:i w:val="0"/>
                <w:iCs w:val="0"/>
                <w:color w:val="auto"/>
                <w:sz w:val="24"/>
                <w:szCs w:val="24"/>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B160D">
            <w:pPr>
              <w:jc w:val="both"/>
              <w:rPr>
                <w:rFonts w:hint="eastAsia" w:ascii="宋体" w:hAnsi="宋体" w:eastAsia="宋体" w:cs="宋体"/>
                <w:i w:val="0"/>
                <w:iCs w:val="0"/>
                <w:color w:val="auto"/>
                <w:sz w:val="24"/>
                <w:szCs w:val="24"/>
                <w:highlight w:val="none"/>
                <w:u w:val="none"/>
              </w:rPr>
            </w:pPr>
          </w:p>
        </w:tc>
      </w:tr>
      <w:tr w14:paraId="5B00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8A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2B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圆钢8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AD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19.085</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0007074E">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0AB59">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9A47">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1976">
            <w:pPr>
              <w:jc w:val="both"/>
              <w:rPr>
                <w:rFonts w:hint="eastAsia" w:ascii="宋体" w:hAnsi="宋体" w:eastAsia="宋体" w:cs="宋体"/>
                <w:i w:val="0"/>
                <w:iCs w:val="0"/>
                <w:color w:val="auto"/>
                <w:sz w:val="24"/>
                <w:szCs w:val="24"/>
                <w:highlight w:val="none"/>
                <w:u w:val="none"/>
              </w:rPr>
            </w:pPr>
          </w:p>
        </w:tc>
      </w:tr>
      <w:tr w14:paraId="4673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7D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A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5F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29.589</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72EDF81C">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DF92">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925A">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1D277">
            <w:pPr>
              <w:jc w:val="both"/>
              <w:rPr>
                <w:rFonts w:hint="eastAsia" w:ascii="宋体" w:hAnsi="宋体" w:eastAsia="宋体" w:cs="宋体"/>
                <w:i w:val="0"/>
                <w:iCs w:val="0"/>
                <w:color w:val="auto"/>
                <w:sz w:val="24"/>
                <w:szCs w:val="24"/>
                <w:highlight w:val="none"/>
                <w:u w:val="none"/>
              </w:rPr>
            </w:pPr>
          </w:p>
        </w:tc>
      </w:tr>
      <w:tr w14:paraId="110A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7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25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00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39.767</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30559A49">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8EBD">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8530">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C725">
            <w:pPr>
              <w:jc w:val="both"/>
              <w:rPr>
                <w:rFonts w:hint="eastAsia" w:ascii="宋体" w:hAnsi="宋体" w:eastAsia="宋体" w:cs="宋体"/>
                <w:i w:val="0"/>
                <w:iCs w:val="0"/>
                <w:color w:val="auto"/>
                <w:sz w:val="24"/>
                <w:szCs w:val="24"/>
                <w:highlight w:val="none"/>
                <w:u w:val="none"/>
              </w:rPr>
            </w:pPr>
          </w:p>
        </w:tc>
      </w:tr>
      <w:tr w14:paraId="3A7D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D9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B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90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45.875</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61751E88">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7C35">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6BC4">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115A">
            <w:pPr>
              <w:jc w:val="both"/>
              <w:rPr>
                <w:rFonts w:hint="eastAsia" w:ascii="宋体" w:hAnsi="宋体" w:eastAsia="宋体" w:cs="宋体"/>
                <w:i w:val="0"/>
                <w:iCs w:val="0"/>
                <w:color w:val="auto"/>
                <w:sz w:val="24"/>
                <w:szCs w:val="24"/>
                <w:highlight w:val="none"/>
                <w:u w:val="none"/>
              </w:rPr>
            </w:pPr>
          </w:p>
        </w:tc>
      </w:tr>
      <w:tr w14:paraId="7900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8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C9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84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50.383</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6403D628">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E6AA9">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738B">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976BA">
            <w:pPr>
              <w:jc w:val="both"/>
              <w:rPr>
                <w:rFonts w:hint="eastAsia" w:ascii="宋体" w:hAnsi="宋体" w:eastAsia="宋体" w:cs="宋体"/>
                <w:i w:val="0"/>
                <w:iCs w:val="0"/>
                <w:color w:val="auto"/>
                <w:sz w:val="24"/>
                <w:szCs w:val="24"/>
                <w:highlight w:val="none"/>
                <w:u w:val="none"/>
              </w:rPr>
            </w:pPr>
          </w:p>
        </w:tc>
      </w:tr>
      <w:tr w14:paraId="0C26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55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AA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0A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23.948</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5486DBC0">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1FED">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BDDD">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6C56">
            <w:pPr>
              <w:jc w:val="both"/>
              <w:rPr>
                <w:rFonts w:hint="eastAsia" w:ascii="宋体" w:hAnsi="宋体" w:eastAsia="宋体" w:cs="宋体"/>
                <w:i w:val="0"/>
                <w:iCs w:val="0"/>
                <w:color w:val="auto"/>
                <w:sz w:val="24"/>
                <w:szCs w:val="24"/>
                <w:highlight w:val="none"/>
                <w:u w:val="none"/>
              </w:rPr>
            </w:pPr>
          </w:p>
        </w:tc>
      </w:tr>
      <w:tr w14:paraId="5093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22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04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4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3.602</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5EC04E30">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66BB">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6D0C">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01318">
            <w:pPr>
              <w:jc w:val="both"/>
              <w:rPr>
                <w:rFonts w:hint="eastAsia" w:ascii="宋体" w:hAnsi="宋体" w:eastAsia="宋体" w:cs="宋体"/>
                <w:i w:val="0"/>
                <w:iCs w:val="0"/>
                <w:color w:val="auto"/>
                <w:sz w:val="24"/>
                <w:szCs w:val="24"/>
                <w:highlight w:val="none"/>
                <w:u w:val="none"/>
              </w:rPr>
            </w:pPr>
          </w:p>
        </w:tc>
      </w:tr>
      <w:tr w14:paraId="0D87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86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4D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E3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15.10</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7770EAA8">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FFB0E">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0A6D">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C726">
            <w:pPr>
              <w:jc w:val="both"/>
              <w:rPr>
                <w:rFonts w:hint="eastAsia" w:ascii="宋体" w:hAnsi="宋体" w:eastAsia="宋体" w:cs="宋体"/>
                <w:i w:val="0"/>
                <w:iCs w:val="0"/>
                <w:color w:val="auto"/>
                <w:sz w:val="24"/>
                <w:szCs w:val="24"/>
                <w:highlight w:val="none"/>
                <w:u w:val="none"/>
              </w:rPr>
            </w:pPr>
          </w:p>
        </w:tc>
      </w:tr>
      <w:tr w14:paraId="6708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3D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1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E8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22.279</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32874AF5">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8B6C2">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BA0D">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29B8">
            <w:pPr>
              <w:jc w:val="both"/>
              <w:rPr>
                <w:rFonts w:hint="eastAsia" w:ascii="宋体" w:hAnsi="宋体" w:eastAsia="宋体" w:cs="宋体"/>
                <w:i w:val="0"/>
                <w:iCs w:val="0"/>
                <w:color w:val="auto"/>
                <w:sz w:val="24"/>
                <w:szCs w:val="24"/>
                <w:highlight w:val="none"/>
                <w:u w:val="none"/>
              </w:rPr>
            </w:pPr>
          </w:p>
        </w:tc>
      </w:tr>
      <w:tr w14:paraId="671E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95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84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螺纹钢筋 HRB400E Φ25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0D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80.651</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045EC69D">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D376">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0E29">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5CC5">
            <w:pPr>
              <w:jc w:val="both"/>
              <w:rPr>
                <w:rFonts w:hint="eastAsia" w:ascii="宋体" w:hAnsi="宋体" w:eastAsia="宋体" w:cs="宋体"/>
                <w:i w:val="0"/>
                <w:iCs w:val="0"/>
                <w:color w:val="auto"/>
                <w:sz w:val="24"/>
                <w:szCs w:val="24"/>
                <w:highlight w:val="none"/>
                <w:u w:val="none"/>
              </w:rPr>
            </w:pPr>
          </w:p>
        </w:tc>
      </w:tr>
      <w:tr w14:paraId="1329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FBE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912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螺纹钢筋 HRB400E Φ28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F865">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3.713</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662CF92E">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F983">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3687">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2022F">
            <w:pPr>
              <w:jc w:val="both"/>
              <w:rPr>
                <w:rFonts w:hint="eastAsia" w:ascii="宋体" w:hAnsi="宋体" w:eastAsia="宋体" w:cs="宋体"/>
                <w:i w:val="0"/>
                <w:iCs w:val="0"/>
                <w:color w:val="auto"/>
                <w:sz w:val="24"/>
                <w:szCs w:val="24"/>
                <w:highlight w:val="none"/>
                <w:u w:val="none"/>
              </w:rPr>
            </w:pPr>
          </w:p>
        </w:tc>
      </w:tr>
      <w:tr w14:paraId="7AE4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D4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66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圆钢</w:t>
            </w:r>
            <w:r>
              <w:rPr>
                <w:rFonts w:hint="eastAsia" w:ascii="宋体" w:hAnsi="宋体" w:eastAsia="宋体" w:cs="宋体"/>
                <w:i w:val="0"/>
                <w:iCs w:val="0"/>
                <w:color w:val="auto"/>
                <w:kern w:val="0"/>
                <w:sz w:val="20"/>
                <w:szCs w:val="20"/>
                <w:highlight w:val="none"/>
                <w:u w:val="none"/>
                <w:lang w:val="en-US" w:eastAsia="zh-CN" w:bidi="ar"/>
              </w:rPr>
              <w:t>H</w:t>
            </w:r>
            <w:r>
              <w:rPr>
                <w:rFonts w:hint="eastAsia" w:ascii="宋体" w:hAnsi="宋体" w:cs="宋体"/>
                <w:i w:val="0"/>
                <w:iCs w:val="0"/>
                <w:color w:val="auto"/>
                <w:kern w:val="0"/>
                <w:sz w:val="20"/>
                <w:szCs w:val="20"/>
                <w:highlight w:val="none"/>
                <w:u w:val="none"/>
                <w:lang w:val="en-US" w:eastAsia="zh-CN" w:bidi="ar"/>
              </w:rPr>
              <w:t>P</w:t>
            </w:r>
            <w:r>
              <w:rPr>
                <w:rFonts w:hint="eastAsia" w:ascii="宋体" w:hAnsi="宋体" w:eastAsia="宋体" w:cs="宋体"/>
                <w:i w:val="0"/>
                <w:iCs w:val="0"/>
                <w:color w:val="auto"/>
                <w:kern w:val="0"/>
                <w:sz w:val="20"/>
                <w:szCs w:val="20"/>
                <w:highlight w:val="none"/>
                <w:u w:val="none"/>
                <w:lang w:val="en-US" w:eastAsia="zh-CN" w:bidi="ar"/>
              </w:rPr>
              <w:t>B</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00E</w:t>
            </w:r>
            <w:r>
              <w:rPr>
                <w:rFonts w:hint="eastAsia" w:ascii="宋体" w:hAnsi="宋体" w:eastAsia="宋体" w:cs="宋体"/>
                <w:i w:val="0"/>
                <w:iCs w:val="0"/>
                <w:color w:val="auto"/>
                <w:kern w:val="0"/>
                <w:sz w:val="20"/>
                <w:szCs w:val="20"/>
                <w:highlight w:val="none"/>
                <w:u w:val="none"/>
                <w:lang w:val="en-US" w:eastAsia="zh-CN" w:bidi="ar"/>
              </w:rPr>
              <w:t xml:space="preserve"> Φ6 </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892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0.61 </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5C66A601">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F714">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92A6">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565D3">
            <w:pPr>
              <w:jc w:val="both"/>
              <w:rPr>
                <w:rFonts w:hint="eastAsia" w:ascii="宋体" w:hAnsi="宋体" w:eastAsia="宋体" w:cs="宋体"/>
                <w:i w:val="0"/>
                <w:iCs w:val="0"/>
                <w:color w:val="auto"/>
                <w:sz w:val="24"/>
                <w:szCs w:val="24"/>
                <w:highlight w:val="none"/>
                <w:u w:val="none"/>
              </w:rPr>
            </w:pPr>
          </w:p>
        </w:tc>
      </w:tr>
      <w:tr w14:paraId="03A8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2C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A3B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圆钢</w:t>
            </w:r>
            <w:r>
              <w:rPr>
                <w:rFonts w:hint="eastAsia" w:ascii="宋体" w:hAnsi="宋体" w:eastAsia="宋体" w:cs="宋体"/>
                <w:i w:val="0"/>
                <w:iCs w:val="0"/>
                <w:color w:val="auto"/>
                <w:kern w:val="0"/>
                <w:sz w:val="20"/>
                <w:szCs w:val="20"/>
                <w:highlight w:val="none"/>
                <w:u w:val="none"/>
                <w:lang w:val="en-US" w:eastAsia="zh-CN" w:bidi="ar"/>
              </w:rPr>
              <w:t>H</w:t>
            </w:r>
            <w:r>
              <w:rPr>
                <w:rFonts w:hint="eastAsia" w:ascii="宋体" w:hAnsi="宋体" w:cs="宋体"/>
                <w:i w:val="0"/>
                <w:iCs w:val="0"/>
                <w:color w:val="auto"/>
                <w:kern w:val="0"/>
                <w:sz w:val="20"/>
                <w:szCs w:val="20"/>
                <w:highlight w:val="none"/>
                <w:u w:val="none"/>
                <w:lang w:val="en-US" w:eastAsia="zh-CN" w:bidi="ar"/>
              </w:rPr>
              <w:t>P</w:t>
            </w:r>
            <w:r>
              <w:rPr>
                <w:rFonts w:hint="eastAsia" w:ascii="宋体" w:hAnsi="宋体" w:eastAsia="宋体" w:cs="宋体"/>
                <w:i w:val="0"/>
                <w:iCs w:val="0"/>
                <w:color w:val="auto"/>
                <w:kern w:val="0"/>
                <w:sz w:val="20"/>
                <w:szCs w:val="20"/>
                <w:highlight w:val="none"/>
                <w:u w:val="none"/>
                <w:lang w:val="en-US" w:eastAsia="zh-CN" w:bidi="ar"/>
              </w:rPr>
              <w:t>B</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00E</w:t>
            </w:r>
            <w:r>
              <w:rPr>
                <w:rFonts w:hint="eastAsia" w:ascii="宋体" w:hAnsi="宋体" w:eastAsia="宋体" w:cs="宋体"/>
                <w:i w:val="0"/>
                <w:iCs w:val="0"/>
                <w:color w:val="auto"/>
                <w:kern w:val="0"/>
                <w:sz w:val="20"/>
                <w:szCs w:val="20"/>
                <w:highlight w:val="none"/>
                <w:u w:val="none"/>
                <w:lang w:val="en-US" w:eastAsia="zh-CN" w:bidi="ar"/>
              </w:rPr>
              <w:t xml:space="preserve"> Φ8 </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0E9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21.44 </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40AD945A">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0F6D">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E57B">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5F82">
            <w:pPr>
              <w:jc w:val="both"/>
              <w:rPr>
                <w:rFonts w:hint="eastAsia" w:ascii="宋体" w:hAnsi="宋体" w:eastAsia="宋体" w:cs="宋体"/>
                <w:i w:val="0"/>
                <w:iCs w:val="0"/>
                <w:color w:val="auto"/>
                <w:sz w:val="24"/>
                <w:szCs w:val="24"/>
                <w:highlight w:val="none"/>
                <w:u w:val="none"/>
              </w:rPr>
            </w:pPr>
          </w:p>
        </w:tc>
      </w:tr>
      <w:tr w14:paraId="591C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12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4F3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圆钢</w:t>
            </w:r>
            <w:r>
              <w:rPr>
                <w:rFonts w:hint="eastAsia" w:ascii="宋体" w:hAnsi="宋体" w:eastAsia="宋体" w:cs="宋体"/>
                <w:i w:val="0"/>
                <w:iCs w:val="0"/>
                <w:color w:val="auto"/>
                <w:kern w:val="0"/>
                <w:sz w:val="20"/>
                <w:szCs w:val="20"/>
                <w:highlight w:val="none"/>
                <w:u w:val="none"/>
                <w:lang w:val="en-US" w:eastAsia="zh-CN" w:bidi="ar"/>
              </w:rPr>
              <w:t>H</w:t>
            </w:r>
            <w:r>
              <w:rPr>
                <w:rFonts w:hint="eastAsia" w:ascii="宋体" w:hAnsi="宋体" w:cs="宋体"/>
                <w:i w:val="0"/>
                <w:iCs w:val="0"/>
                <w:color w:val="auto"/>
                <w:kern w:val="0"/>
                <w:sz w:val="20"/>
                <w:szCs w:val="20"/>
                <w:highlight w:val="none"/>
                <w:u w:val="none"/>
                <w:lang w:val="en-US" w:eastAsia="zh-CN" w:bidi="ar"/>
              </w:rPr>
              <w:t>P</w:t>
            </w:r>
            <w:r>
              <w:rPr>
                <w:rFonts w:hint="eastAsia" w:ascii="宋体" w:hAnsi="宋体" w:eastAsia="宋体" w:cs="宋体"/>
                <w:i w:val="0"/>
                <w:iCs w:val="0"/>
                <w:color w:val="auto"/>
                <w:kern w:val="0"/>
                <w:sz w:val="20"/>
                <w:szCs w:val="20"/>
                <w:highlight w:val="none"/>
                <w:u w:val="none"/>
                <w:lang w:val="en-US" w:eastAsia="zh-CN" w:bidi="ar"/>
              </w:rPr>
              <w:t>B</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00E</w:t>
            </w:r>
            <w:r>
              <w:rPr>
                <w:rFonts w:hint="eastAsia" w:ascii="宋体" w:hAnsi="宋体" w:eastAsia="宋体" w:cs="宋体"/>
                <w:i w:val="0"/>
                <w:iCs w:val="0"/>
                <w:color w:val="auto"/>
                <w:kern w:val="0"/>
                <w:sz w:val="20"/>
                <w:szCs w:val="20"/>
                <w:highlight w:val="none"/>
                <w:u w:val="none"/>
                <w:lang w:val="en-US" w:eastAsia="zh-CN" w:bidi="ar"/>
              </w:rPr>
              <w:t xml:space="preserve"> Φ14 </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29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25.32 </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5F89A88E">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2F45">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3E16">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BBD0">
            <w:pPr>
              <w:jc w:val="both"/>
              <w:rPr>
                <w:rFonts w:hint="eastAsia" w:ascii="宋体" w:hAnsi="宋体" w:eastAsia="宋体" w:cs="宋体"/>
                <w:i w:val="0"/>
                <w:iCs w:val="0"/>
                <w:color w:val="auto"/>
                <w:sz w:val="24"/>
                <w:szCs w:val="24"/>
                <w:highlight w:val="none"/>
                <w:u w:val="none"/>
              </w:rPr>
            </w:pPr>
          </w:p>
        </w:tc>
      </w:tr>
      <w:tr w14:paraId="058A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32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8A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圆钢</w:t>
            </w:r>
            <w:r>
              <w:rPr>
                <w:rFonts w:hint="eastAsia" w:ascii="宋体" w:hAnsi="宋体" w:eastAsia="宋体" w:cs="宋体"/>
                <w:i w:val="0"/>
                <w:iCs w:val="0"/>
                <w:color w:val="auto"/>
                <w:kern w:val="0"/>
                <w:sz w:val="20"/>
                <w:szCs w:val="20"/>
                <w:highlight w:val="none"/>
                <w:u w:val="none"/>
                <w:lang w:val="en-US" w:eastAsia="zh-CN" w:bidi="ar"/>
              </w:rPr>
              <w:t>H</w:t>
            </w:r>
            <w:r>
              <w:rPr>
                <w:rFonts w:hint="eastAsia" w:ascii="宋体" w:hAnsi="宋体" w:cs="宋体"/>
                <w:i w:val="0"/>
                <w:iCs w:val="0"/>
                <w:color w:val="auto"/>
                <w:kern w:val="0"/>
                <w:sz w:val="20"/>
                <w:szCs w:val="20"/>
                <w:highlight w:val="none"/>
                <w:u w:val="none"/>
                <w:lang w:val="en-US" w:eastAsia="zh-CN" w:bidi="ar"/>
              </w:rPr>
              <w:t>P</w:t>
            </w:r>
            <w:r>
              <w:rPr>
                <w:rFonts w:hint="eastAsia" w:ascii="宋体" w:hAnsi="宋体" w:eastAsia="宋体" w:cs="宋体"/>
                <w:i w:val="0"/>
                <w:iCs w:val="0"/>
                <w:color w:val="auto"/>
                <w:kern w:val="0"/>
                <w:sz w:val="20"/>
                <w:szCs w:val="20"/>
                <w:highlight w:val="none"/>
                <w:u w:val="none"/>
                <w:lang w:val="en-US" w:eastAsia="zh-CN" w:bidi="ar"/>
              </w:rPr>
              <w:t>B</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00E</w:t>
            </w:r>
            <w:r>
              <w:rPr>
                <w:rFonts w:hint="eastAsia" w:ascii="宋体" w:hAnsi="宋体" w:eastAsia="宋体" w:cs="宋体"/>
                <w:i w:val="0"/>
                <w:iCs w:val="0"/>
                <w:color w:val="auto"/>
                <w:kern w:val="0"/>
                <w:sz w:val="20"/>
                <w:szCs w:val="20"/>
                <w:highlight w:val="none"/>
                <w:u w:val="none"/>
                <w:lang w:val="en-US" w:eastAsia="zh-CN" w:bidi="ar"/>
              </w:rPr>
              <w:t xml:space="preserve"> Φ16 </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6C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140.32 </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08EA68F8">
            <w:pPr>
              <w:jc w:val="center"/>
              <w:rPr>
                <w:rFonts w:hint="eastAsia" w:ascii="宋体" w:hAnsi="宋体" w:eastAsia="宋体" w:cs="宋体"/>
                <w:i w:val="0"/>
                <w:iCs w:val="0"/>
                <w:color w:val="auto"/>
                <w:sz w:val="24"/>
                <w:szCs w:val="24"/>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E6D5F">
            <w:pPr>
              <w:jc w:val="center"/>
              <w:rPr>
                <w:rFonts w:hint="eastAsia" w:ascii="宋体" w:hAnsi="宋体" w:eastAsia="宋体" w:cs="宋体"/>
                <w:i w:val="0"/>
                <w:iCs w:val="0"/>
                <w:color w:val="auto"/>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83EE">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0743">
            <w:pPr>
              <w:jc w:val="both"/>
              <w:rPr>
                <w:rFonts w:hint="eastAsia" w:ascii="宋体" w:hAnsi="宋体" w:eastAsia="宋体" w:cs="宋体"/>
                <w:i w:val="0"/>
                <w:iCs w:val="0"/>
                <w:color w:val="auto"/>
                <w:sz w:val="24"/>
                <w:szCs w:val="24"/>
                <w:highlight w:val="none"/>
                <w:u w:val="none"/>
              </w:rPr>
            </w:pPr>
          </w:p>
        </w:tc>
      </w:tr>
      <w:tr w14:paraId="237F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0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13CC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付款方式：下月30日前，以现金转账付款方式付清本次对账金额的100%。</w:t>
            </w:r>
          </w:p>
        </w:tc>
      </w:tr>
    </w:tbl>
    <w:p w14:paraId="2B8A1DC7">
      <w:pPr>
        <w:adjustRightInd w:val="0"/>
        <w:snapToGrid w:val="0"/>
        <w:spacing w:beforeLines="50" w:line="360" w:lineRule="auto"/>
        <w:jc w:val="both"/>
        <w:rPr>
          <w:rFonts w:hint="eastAsia" w:ascii="宋体" w:hAnsi="宋体"/>
          <w:color w:val="auto"/>
          <w:szCs w:val="21"/>
          <w:highlight w:val="none"/>
        </w:rPr>
      </w:pPr>
      <w:r>
        <w:rPr>
          <w:rFonts w:hint="eastAsia" w:ascii="宋体" w:hAnsi="宋体"/>
          <w:color w:val="auto"/>
          <w:szCs w:val="21"/>
          <w:highlight w:val="none"/>
        </w:rPr>
        <w:t>备注：以上报价为到货价，包括运输、装卸费、检测费、税金</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w:t>
      </w:r>
      <w:r>
        <w:rPr>
          <w:rFonts w:hint="eastAsia" w:ascii="宋体" w:hAnsi="宋体"/>
          <w:color w:val="auto"/>
          <w:szCs w:val="21"/>
          <w:highlight w:val="none"/>
        </w:rPr>
        <w:t>等投标其他费用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报价保留小数点后两位</w:t>
      </w:r>
      <w:r>
        <w:rPr>
          <w:rFonts w:hint="eastAsia" w:ascii="宋体" w:hAnsi="宋体"/>
          <w:color w:val="auto"/>
          <w:szCs w:val="21"/>
          <w:highlight w:val="none"/>
          <w:lang w:eastAsia="zh-CN"/>
        </w:rPr>
        <w:t>。</w:t>
      </w:r>
    </w:p>
    <w:p w14:paraId="35067FCB">
      <w:pPr>
        <w:pStyle w:val="2"/>
        <w:ind w:left="0" w:leftChars="0" w:firstLine="0" w:firstLineChars="0"/>
        <w:rPr>
          <w:rFonts w:ascii="宋体" w:hAnsi="宋体"/>
          <w:color w:val="auto"/>
          <w:szCs w:val="21"/>
          <w:highlight w:val="none"/>
        </w:rPr>
      </w:pPr>
    </w:p>
    <w:p w14:paraId="514FB432">
      <w:pPr>
        <w:rPr>
          <w:color w:val="auto"/>
          <w:highlight w:val="none"/>
        </w:rPr>
      </w:pPr>
    </w:p>
    <w:p w14:paraId="099E39D2">
      <w:pPr>
        <w:adjustRightInd w:val="0"/>
        <w:snapToGrid w:val="0"/>
        <w:spacing w:beforeLines="50" w:line="360" w:lineRule="auto"/>
        <w:rPr>
          <w:rFonts w:ascii="宋体" w:hAnsi="宋体"/>
          <w:color w:val="auto"/>
          <w:sz w:val="28"/>
          <w:szCs w:val="28"/>
          <w:highlight w:val="none"/>
        </w:rPr>
      </w:pPr>
      <w:r>
        <w:rPr>
          <w:rFonts w:hint="eastAsia" w:ascii="宋体" w:hAnsi="宋体"/>
          <w:color w:val="auto"/>
          <w:sz w:val="28"/>
          <w:szCs w:val="28"/>
          <w:highlight w:val="none"/>
        </w:rPr>
        <w:t>供应商名称（单位章）：</w:t>
      </w:r>
      <w:r>
        <w:rPr>
          <w:rFonts w:hint="eastAsia" w:ascii="宋体" w:hAnsi="宋体"/>
          <w:color w:val="auto"/>
          <w:sz w:val="28"/>
          <w:szCs w:val="28"/>
          <w:highlight w:val="none"/>
          <w:u w:val="single"/>
        </w:rPr>
        <w:t xml:space="preserve">                   </w:t>
      </w:r>
    </w:p>
    <w:p w14:paraId="023B3918">
      <w:pPr>
        <w:adjustRightInd w:val="0"/>
        <w:snapToGrid w:val="0"/>
        <w:spacing w:beforeLines="50" w:line="360" w:lineRule="auto"/>
        <w:rPr>
          <w:rFonts w:ascii="宋体" w:hAnsi="宋体"/>
          <w:color w:val="auto"/>
          <w:sz w:val="28"/>
          <w:szCs w:val="28"/>
          <w:highlight w:val="none"/>
        </w:rPr>
      </w:pPr>
      <w:r>
        <w:rPr>
          <w:rFonts w:hint="eastAsia" w:ascii="宋体" w:hAnsi="宋体"/>
          <w:color w:val="auto"/>
          <w:sz w:val="28"/>
          <w:szCs w:val="28"/>
          <w:highlight w:val="none"/>
        </w:rPr>
        <w:t>法定代表人或其委托代理人(签字)：</w:t>
      </w:r>
      <w:r>
        <w:rPr>
          <w:rFonts w:hint="eastAsia" w:ascii="宋体" w:hAnsi="宋体"/>
          <w:color w:val="auto"/>
          <w:sz w:val="28"/>
          <w:szCs w:val="28"/>
          <w:highlight w:val="none"/>
          <w:u w:val="single"/>
        </w:rPr>
        <w:t xml:space="preserve">                </w:t>
      </w:r>
    </w:p>
    <w:p w14:paraId="4A384135">
      <w:pPr>
        <w:adjustRightInd w:val="0"/>
        <w:snapToGrid w:val="0"/>
        <w:spacing w:beforeLines="50" w:line="360" w:lineRule="auto"/>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643D1898">
      <w:pPr>
        <w:rPr>
          <w:rFonts w:ascii="宋体" w:hAnsi="宋体"/>
          <w:color w:val="auto"/>
          <w:szCs w:val="21"/>
          <w:highlight w:val="none"/>
        </w:rPr>
      </w:pPr>
      <w:r>
        <w:rPr>
          <w:rFonts w:hint="eastAsia" w:ascii="宋体" w:hAnsi="宋体"/>
          <w:color w:val="auto"/>
          <w:szCs w:val="21"/>
          <w:highlight w:val="none"/>
        </w:rPr>
        <w:br w:type="page"/>
      </w:r>
    </w:p>
    <w:p w14:paraId="3EE1F8B5">
      <w:pPr>
        <w:adjustRightInd w:val="0"/>
        <w:snapToGrid w:val="0"/>
        <w:spacing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四</w:t>
      </w:r>
      <w:r>
        <w:rPr>
          <w:rFonts w:hint="eastAsia" w:ascii="黑体" w:hAnsi="宋体" w:eastAsia="黑体"/>
          <w:color w:val="auto"/>
          <w:sz w:val="28"/>
          <w:szCs w:val="28"/>
          <w:highlight w:val="none"/>
        </w:rPr>
        <w:t>、供应商认为需要提供的其它资料</w:t>
      </w:r>
    </w:p>
    <w:p w14:paraId="3D1C89E3">
      <w:pPr>
        <w:adjustRightInd w:val="0"/>
        <w:snapToGrid w:val="0"/>
        <w:spacing w:beforeLines="50" w:line="360" w:lineRule="auto"/>
        <w:ind w:firstLine="420" w:firstLineChars="200"/>
        <w:outlineLvl w:val="0"/>
        <w:rPr>
          <w:rFonts w:ascii="宋体" w:hAnsi="宋体" w:cs="宋体"/>
          <w:color w:val="auto"/>
          <w:sz w:val="28"/>
          <w:szCs w:val="28"/>
          <w:highlight w:val="none"/>
        </w:rPr>
      </w:pPr>
      <w:r>
        <w:rPr>
          <w:rFonts w:hint="eastAsia" w:ascii="宋体" w:hAnsi="宋体" w:cs="宋体"/>
          <w:color w:val="auto"/>
          <w:szCs w:val="21"/>
          <w:highlight w:val="none"/>
        </w:rPr>
        <w:t>提供采购文件或评分标准需要提供的相关证明文件复印件，或供应商认为需要提供的其他材料。</w:t>
      </w:r>
    </w:p>
    <w:p w14:paraId="1C4263A7">
      <w:pPr>
        <w:pStyle w:val="35"/>
        <w:rPr>
          <w:color w:val="auto"/>
          <w:highlight w:val="none"/>
        </w:rPr>
      </w:pPr>
    </w:p>
    <w:p w14:paraId="7AE1D0FB">
      <w:pPr>
        <w:pStyle w:val="2"/>
        <w:spacing w:beforeLines="50" w:after="0" w:line="360" w:lineRule="auto"/>
        <w:ind w:left="0" w:leftChars="0" w:firstLine="0" w:firstLineChars="0"/>
        <w:rPr>
          <w:rFonts w:ascii="宋体" w:hAnsi="宋体"/>
          <w:color w:val="auto"/>
          <w:szCs w:val="21"/>
          <w:highlight w:val="none"/>
        </w:rPr>
      </w:pPr>
    </w:p>
    <w:p w14:paraId="462778A1">
      <w:pPr>
        <w:rPr>
          <w:rFonts w:ascii="宋体" w:hAnsi="宋体"/>
          <w:color w:val="auto"/>
          <w:szCs w:val="21"/>
          <w:highlight w:val="none"/>
        </w:rPr>
      </w:pPr>
    </w:p>
    <w:p w14:paraId="28D3ECF8">
      <w:pPr>
        <w:pStyle w:val="2"/>
        <w:rPr>
          <w:rFonts w:ascii="宋体" w:hAnsi="宋体"/>
          <w:color w:val="auto"/>
          <w:szCs w:val="21"/>
          <w:highlight w:val="none"/>
        </w:rPr>
      </w:pPr>
    </w:p>
    <w:p w14:paraId="72133852">
      <w:pPr>
        <w:rPr>
          <w:rFonts w:ascii="宋体" w:hAnsi="宋体"/>
          <w:color w:val="auto"/>
          <w:szCs w:val="21"/>
          <w:highlight w:val="none"/>
        </w:rPr>
      </w:pPr>
    </w:p>
    <w:p w14:paraId="2E5431FE">
      <w:pPr>
        <w:pStyle w:val="2"/>
        <w:rPr>
          <w:rFonts w:ascii="宋体" w:hAnsi="宋体"/>
          <w:color w:val="auto"/>
          <w:szCs w:val="21"/>
          <w:highlight w:val="none"/>
        </w:rPr>
      </w:pPr>
    </w:p>
    <w:p w14:paraId="20D94BF3">
      <w:pPr>
        <w:rPr>
          <w:rFonts w:ascii="宋体" w:hAnsi="宋体"/>
          <w:color w:val="auto"/>
          <w:szCs w:val="21"/>
          <w:highlight w:val="none"/>
        </w:rPr>
      </w:pPr>
    </w:p>
    <w:p w14:paraId="740D7133">
      <w:pPr>
        <w:pStyle w:val="2"/>
        <w:rPr>
          <w:rFonts w:ascii="宋体" w:hAnsi="宋体"/>
          <w:color w:val="auto"/>
          <w:szCs w:val="21"/>
          <w:highlight w:val="none"/>
        </w:rPr>
      </w:pPr>
    </w:p>
    <w:p w14:paraId="7AEDE05B">
      <w:pPr>
        <w:rPr>
          <w:rFonts w:ascii="宋体" w:hAnsi="宋体"/>
          <w:color w:val="auto"/>
          <w:szCs w:val="21"/>
          <w:highlight w:val="none"/>
        </w:rPr>
      </w:pPr>
    </w:p>
    <w:p w14:paraId="7114EA5F">
      <w:pPr>
        <w:pStyle w:val="2"/>
        <w:rPr>
          <w:rFonts w:ascii="宋体" w:hAnsi="宋体"/>
          <w:color w:val="auto"/>
          <w:szCs w:val="21"/>
          <w:highlight w:val="none"/>
        </w:rPr>
      </w:pPr>
    </w:p>
    <w:p w14:paraId="1CD6032A">
      <w:pPr>
        <w:rPr>
          <w:rFonts w:ascii="宋体" w:hAnsi="宋体"/>
          <w:color w:val="auto"/>
          <w:szCs w:val="21"/>
          <w:highlight w:val="none"/>
        </w:rPr>
      </w:pPr>
    </w:p>
    <w:p w14:paraId="7B41131C">
      <w:pPr>
        <w:pStyle w:val="2"/>
        <w:rPr>
          <w:rFonts w:ascii="宋体" w:hAnsi="宋体"/>
          <w:color w:val="auto"/>
          <w:szCs w:val="21"/>
          <w:highlight w:val="none"/>
        </w:rPr>
      </w:pPr>
    </w:p>
    <w:p w14:paraId="214F23EB">
      <w:pPr>
        <w:rPr>
          <w:rFonts w:ascii="宋体" w:hAnsi="宋体"/>
          <w:color w:val="auto"/>
          <w:szCs w:val="21"/>
          <w:highlight w:val="none"/>
        </w:rPr>
      </w:pPr>
    </w:p>
    <w:p w14:paraId="5CF4783C">
      <w:pPr>
        <w:pStyle w:val="2"/>
        <w:rPr>
          <w:rFonts w:ascii="宋体" w:hAnsi="宋体"/>
          <w:color w:val="auto"/>
          <w:szCs w:val="21"/>
          <w:highlight w:val="none"/>
        </w:rPr>
      </w:pPr>
    </w:p>
    <w:p w14:paraId="35B8467C">
      <w:pPr>
        <w:rPr>
          <w:rFonts w:ascii="宋体" w:hAnsi="宋体"/>
          <w:color w:val="auto"/>
          <w:szCs w:val="21"/>
          <w:highlight w:val="none"/>
        </w:rPr>
      </w:pPr>
    </w:p>
    <w:p w14:paraId="1B5C6B44">
      <w:pPr>
        <w:pStyle w:val="2"/>
        <w:rPr>
          <w:rFonts w:ascii="宋体" w:hAnsi="宋体"/>
          <w:color w:val="auto"/>
          <w:szCs w:val="21"/>
          <w:highlight w:val="none"/>
        </w:rPr>
      </w:pPr>
    </w:p>
    <w:p w14:paraId="1ED5B16D">
      <w:pPr>
        <w:rPr>
          <w:rFonts w:ascii="宋体" w:hAnsi="宋体"/>
          <w:color w:val="auto"/>
          <w:szCs w:val="21"/>
          <w:highlight w:val="none"/>
        </w:rPr>
      </w:pPr>
    </w:p>
    <w:p w14:paraId="1EB63634">
      <w:pPr>
        <w:pStyle w:val="2"/>
        <w:rPr>
          <w:rFonts w:ascii="宋体" w:hAnsi="宋体"/>
          <w:color w:val="auto"/>
          <w:szCs w:val="21"/>
          <w:highlight w:val="none"/>
        </w:rPr>
      </w:pPr>
    </w:p>
    <w:p w14:paraId="4864E1A5">
      <w:pPr>
        <w:rPr>
          <w:rFonts w:ascii="宋体" w:hAnsi="宋体"/>
          <w:color w:val="auto"/>
          <w:szCs w:val="21"/>
          <w:highlight w:val="none"/>
        </w:rPr>
      </w:pPr>
    </w:p>
    <w:p w14:paraId="0C019AE0">
      <w:pPr>
        <w:pStyle w:val="2"/>
        <w:rPr>
          <w:rFonts w:ascii="宋体" w:hAnsi="宋体"/>
          <w:color w:val="auto"/>
          <w:szCs w:val="21"/>
          <w:highlight w:val="none"/>
        </w:rPr>
      </w:pPr>
    </w:p>
    <w:p w14:paraId="781A5388">
      <w:pPr>
        <w:rPr>
          <w:rFonts w:ascii="宋体" w:hAnsi="宋体"/>
          <w:color w:val="auto"/>
          <w:szCs w:val="21"/>
          <w:highlight w:val="none"/>
        </w:rPr>
      </w:pPr>
    </w:p>
    <w:p w14:paraId="380CBC8E">
      <w:pPr>
        <w:pStyle w:val="2"/>
        <w:rPr>
          <w:rFonts w:ascii="宋体" w:hAnsi="宋体"/>
          <w:color w:val="auto"/>
          <w:szCs w:val="21"/>
          <w:highlight w:val="none"/>
        </w:rPr>
      </w:pPr>
    </w:p>
    <w:p w14:paraId="0E3DA7E7">
      <w:pPr>
        <w:rPr>
          <w:rFonts w:ascii="宋体" w:hAnsi="宋体"/>
          <w:color w:val="auto"/>
          <w:szCs w:val="21"/>
          <w:highlight w:val="none"/>
        </w:rPr>
      </w:pPr>
    </w:p>
    <w:p w14:paraId="3310A87A">
      <w:pPr>
        <w:pStyle w:val="2"/>
        <w:rPr>
          <w:rFonts w:ascii="宋体" w:hAnsi="宋体"/>
          <w:color w:val="auto"/>
          <w:szCs w:val="21"/>
          <w:highlight w:val="none"/>
        </w:rPr>
      </w:pPr>
    </w:p>
    <w:p w14:paraId="04E7C6D5">
      <w:pPr>
        <w:rPr>
          <w:rFonts w:ascii="宋体" w:hAnsi="宋体"/>
          <w:color w:val="auto"/>
          <w:szCs w:val="21"/>
          <w:highlight w:val="none"/>
        </w:rPr>
      </w:pPr>
    </w:p>
    <w:p w14:paraId="1682AEFA">
      <w:pPr>
        <w:pStyle w:val="2"/>
        <w:rPr>
          <w:rFonts w:ascii="宋体" w:hAnsi="宋体"/>
          <w:color w:val="auto"/>
          <w:szCs w:val="21"/>
          <w:highlight w:val="none"/>
        </w:rPr>
      </w:pPr>
    </w:p>
    <w:p w14:paraId="080EF622">
      <w:pPr>
        <w:rPr>
          <w:rFonts w:ascii="宋体" w:hAnsi="宋体"/>
          <w:color w:val="auto"/>
          <w:szCs w:val="21"/>
          <w:highlight w:val="none"/>
        </w:rPr>
      </w:pPr>
    </w:p>
    <w:p w14:paraId="3E48DA1E">
      <w:pPr>
        <w:pStyle w:val="2"/>
        <w:rPr>
          <w:rFonts w:ascii="宋体" w:hAnsi="宋体"/>
          <w:color w:val="auto"/>
          <w:szCs w:val="21"/>
          <w:highlight w:val="none"/>
        </w:rPr>
      </w:pPr>
    </w:p>
    <w:p w14:paraId="43B04305">
      <w:pPr>
        <w:rPr>
          <w:rFonts w:ascii="宋体" w:hAnsi="宋体"/>
          <w:color w:val="auto"/>
          <w:szCs w:val="21"/>
          <w:highlight w:val="none"/>
        </w:rPr>
      </w:pPr>
    </w:p>
    <w:p w14:paraId="1C00F7AE">
      <w:pPr>
        <w:pStyle w:val="2"/>
        <w:rPr>
          <w:rFonts w:ascii="宋体" w:hAnsi="宋体"/>
          <w:color w:val="auto"/>
          <w:szCs w:val="21"/>
          <w:highlight w:val="none"/>
        </w:rPr>
      </w:pPr>
    </w:p>
    <w:p w14:paraId="156DEC05">
      <w:pPr>
        <w:rPr>
          <w:rFonts w:ascii="宋体" w:hAnsi="宋体"/>
          <w:color w:val="auto"/>
          <w:szCs w:val="21"/>
          <w:highlight w:val="none"/>
        </w:rPr>
      </w:pPr>
    </w:p>
    <w:p w14:paraId="71DE6D94">
      <w:pPr>
        <w:pStyle w:val="2"/>
        <w:rPr>
          <w:rFonts w:ascii="宋体" w:hAnsi="宋体"/>
          <w:color w:val="auto"/>
          <w:szCs w:val="21"/>
          <w:highlight w:val="none"/>
        </w:rPr>
      </w:pPr>
    </w:p>
    <w:p w14:paraId="413E0638">
      <w:pPr>
        <w:rPr>
          <w:rFonts w:ascii="宋体" w:hAnsi="宋体"/>
          <w:color w:val="auto"/>
          <w:szCs w:val="21"/>
          <w:highlight w:val="none"/>
        </w:rPr>
      </w:pPr>
    </w:p>
    <w:p w14:paraId="0FA27D1E">
      <w:pPr>
        <w:rPr>
          <w:color w:val="auto"/>
          <w:highlight w:val="none"/>
        </w:rPr>
      </w:pPr>
    </w:p>
    <w:bookmarkEnd w:id="3"/>
    <w:sectPr>
      <w:headerReference r:id="rId4" w:type="default"/>
      <w:footerReference r:id="rId5" w:type="default"/>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699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0D9655B">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00D9655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783EA">
    <w:pPr>
      <w:pStyle w:val="16"/>
      <w:ind w:right="360"/>
      <w:rPr>
        <w:u w:val="single"/>
      </w:rPr>
    </w:pPr>
    <w:r>
      <w:rPr>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0" cy="147955"/>
              <wp:effectExtent l="0" t="0" r="0" b="0"/>
              <wp:wrapNone/>
              <wp:docPr id="1" name="4097"/>
              <wp:cNvGraphicFramePr/>
              <a:graphic xmlns:a="http://schemas.openxmlformats.org/drawingml/2006/main">
                <a:graphicData uri="http://schemas.microsoft.com/office/word/2010/wordprocessingShape">
                  <wps:wsp>
                    <wps:cNvSpPr txBox="1"/>
                    <wps:spPr>
                      <a:xfrm>
                        <a:off x="0" y="0"/>
                        <a:ext cx="5721350" cy="147955"/>
                      </a:xfrm>
                      <a:prstGeom prst="rect">
                        <a:avLst/>
                      </a:prstGeom>
                      <a:noFill/>
                      <a:ln>
                        <a:noFill/>
                      </a:ln>
                    </wps:spPr>
                    <wps:txbx>
                      <w:txbxContent>
                        <w:p w14:paraId="6E3AF8E6">
                          <w:pPr>
                            <w:pStyle w:val="16"/>
                            <w:tabs>
                              <w:tab w:val="clear" w:pos="8306"/>
                            </w:tabs>
                            <w:ind w:right="-1044"/>
                            <w:rPr>
                              <w:u w:val="single"/>
                            </w:rPr>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txbxContent>
                    </wps:txbx>
                    <wps:bodyPr vert="horz" lIns="0" tIns="0" rIns="0" bIns="0" anchor="t" anchorCtr="0" upright="1">
                      <a:spAutoFit/>
                    </wps:bodyPr>
                  </wps:wsp>
                </a:graphicData>
              </a:graphic>
            </wp:anchor>
          </w:drawing>
        </mc:Choice>
        <mc:Fallback>
          <w:pict>
            <v:shape id="4097" o:spid="_x0000_s1026" o:spt="202" type="#_x0000_t202" style="position:absolute;left:0pt;margin-top:0pt;height:11.65pt;width:450.5pt;mso-position-horizontal:center;mso-position-horizontal-relative:margin;z-index:251659264;mso-width-relative:page;mso-height-relative:page;" filled="f" stroked="f" coordsize="21600,21600" o:gfxdata="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zVFPDSAAAABAEAAA8AAAAAAAAAAQAgAAAAIgAAAGRycy9kb3ducmV2&#10;LnhtbFBLAQIUABQAAAAIAIdO4kBz7rz/yQEAAKoDAAAOAAAAAAAAAAEAIAAAACEBAABkcnMvZTJv&#10;RG9jLnhtbFBLBQYAAAAABgAGAFkBAABcBQAAAAA=&#10;">
              <v:fill on="f" focussize="0,0"/>
              <v:stroke on="f"/>
              <v:imagedata o:title=""/>
              <o:lock v:ext="edit" aspectratio="f"/>
              <v:textbox inset="0mm,0mm,0mm,0mm" style="mso-fit-shape-to-text:t;">
                <w:txbxContent>
                  <w:p w14:paraId="6E3AF8E6">
                    <w:pPr>
                      <w:pStyle w:val="16"/>
                      <w:tabs>
                        <w:tab w:val="clear" w:pos="8306"/>
                      </w:tabs>
                      <w:ind w:right="-1044"/>
                      <w:rPr>
                        <w:u w:val="single"/>
                      </w:rPr>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txbxContent>
              </v:textbox>
            </v:shape>
          </w:pict>
        </mc:Fallback>
      </mc:AlternateContent>
    </w:r>
    <w:r>
      <w:rPr>
        <w:rFonts w:hint="eastAsia"/>
        <w:u w:val="single"/>
      </w:rPr>
      <w:t xml:space="preserve">                                                                                                                                                                                                                                                </w:t>
    </w:r>
  </w:p>
  <w:p w14:paraId="7D25EDB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B016">
    <w:pPr>
      <w:pStyle w:val="1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lowerLetter"/>
      <w:suff w:val="nothing"/>
      <w:lvlText w:val="%1   "/>
      <w:lvlJc w:val="left"/>
      <w:pPr>
        <w:ind w:left="391"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153" w:hanging="363"/>
      </w:pPr>
      <w:rPr>
        <w:rFonts w:hint="eastAsia"/>
      </w:rPr>
    </w:lvl>
    <w:lvl w:ilvl="2" w:tentative="0">
      <w:start w:val="1"/>
      <w:numFmt w:val="lowerRoman"/>
      <w:lvlText w:val="%3."/>
      <w:lvlJc w:val="right"/>
      <w:pPr>
        <w:tabs>
          <w:tab w:val="left" w:pos="57"/>
        </w:tabs>
        <w:ind w:left="153" w:hanging="363"/>
      </w:pPr>
      <w:rPr>
        <w:rFonts w:hint="eastAsia"/>
      </w:rPr>
    </w:lvl>
    <w:lvl w:ilvl="3" w:tentative="0">
      <w:start w:val="1"/>
      <w:numFmt w:val="decimal"/>
      <w:lvlText w:val="%4."/>
      <w:lvlJc w:val="left"/>
      <w:pPr>
        <w:tabs>
          <w:tab w:val="left" w:pos="57"/>
        </w:tabs>
        <w:ind w:left="153" w:hanging="363"/>
      </w:pPr>
      <w:rPr>
        <w:rFonts w:hint="eastAsia"/>
      </w:rPr>
    </w:lvl>
    <w:lvl w:ilvl="4" w:tentative="0">
      <w:start w:val="1"/>
      <w:numFmt w:val="lowerLetter"/>
      <w:lvlText w:val="%5)"/>
      <w:lvlJc w:val="left"/>
      <w:pPr>
        <w:tabs>
          <w:tab w:val="left" w:pos="57"/>
        </w:tabs>
        <w:ind w:left="153" w:hanging="363"/>
      </w:pPr>
      <w:rPr>
        <w:rFonts w:hint="eastAsia"/>
      </w:rPr>
    </w:lvl>
    <w:lvl w:ilvl="5" w:tentative="0">
      <w:start w:val="1"/>
      <w:numFmt w:val="lowerRoman"/>
      <w:lvlText w:val="%6."/>
      <w:lvlJc w:val="right"/>
      <w:pPr>
        <w:tabs>
          <w:tab w:val="left" w:pos="57"/>
        </w:tabs>
        <w:ind w:left="153" w:hanging="363"/>
      </w:pPr>
      <w:rPr>
        <w:rFonts w:hint="eastAsia"/>
      </w:rPr>
    </w:lvl>
    <w:lvl w:ilvl="6" w:tentative="0">
      <w:start w:val="1"/>
      <w:numFmt w:val="decimal"/>
      <w:lvlText w:val="%7."/>
      <w:lvlJc w:val="left"/>
      <w:pPr>
        <w:tabs>
          <w:tab w:val="left" w:pos="57"/>
        </w:tabs>
        <w:ind w:left="153" w:hanging="363"/>
      </w:pPr>
      <w:rPr>
        <w:rFonts w:hint="eastAsia"/>
      </w:rPr>
    </w:lvl>
    <w:lvl w:ilvl="7" w:tentative="0">
      <w:start w:val="1"/>
      <w:numFmt w:val="lowerLetter"/>
      <w:lvlText w:val="%8)"/>
      <w:lvlJc w:val="left"/>
      <w:pPr>
        <w:tabs>
          <w:tab w:val="left" w:pos="57"/>
        </w:tabs>
        <w:ind w:left="153" w:hanging="363"/>
      </w:pPr>
      <w:rPr>
        <w:rFonts w:hint="eastAsia"/>
      </w:rPr>
    </w:lvl>
    <w:lvl w:ilvl="8" w:tentative="0">
      <w:start w:val="1"/>
      <w:numFmt w:val="lowerRoman"/>
      <w:lvlText w:val="%9."/>
      <w:lvlJc w:val="right"/>
      <w:pPr>
        <w:tabs>
          <w:tab w:val="left" w:pos="57"/>
        </w:tabs>
        <w:ind w:left="153" w:hanging="363"/>
      </w:pPr>
      <w:rPr>
        <w:rFonts w:hint="eastAsia"/>
      </w:rPr>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1214224B"/>
    <w:multiLevelType w:val="singleLevel"/>
    <w:tmpl w:val="1214224B"/>
    <w:lvl w:ilvl="0" w:tentative="0">
      <w:start w:val="2"/>
      <w:numFmt w:val="chineseCounting"/>
      <w:suff w:val="space"/>
      <w:lvlText w:val="第%1章"/>
      <w:lvlJc w:val="left"/>
      <w:rPr>
        <w:rFonts w:hint="eastAsia"/>
      </w:rPr>
    </w:lvl>
  </w:abstractNum>
  <w:abstractNum w:abstractNumId="4">
    <w:nsid w:val="68F88E68"/>
    <w:multiLevelType w:val="singleLevel"/>
    <w:tmpl w:val="68F88E68"/>
    <w:lvl w:ilvl="0" w:tentative="0">
      <w:start w:val="6"/>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ZDhkZWExMWVjMTI4ZGNkNjYyMGVmODM0NGI1OTQifQ=="/>
  </w:docVars>
  <w:rsids>
    <w:rsidRoot w:val="00000000"/>
    <w:rsid w:val="008102F1"/>
    <w:rsid w:val="00E63079"/>
    <w:rsid w:val="02785724"/>
    <w:rsid w:val="02895B83"/>
    <w:rsid w:val="02DB65A7"/>
    <w:rsid w:val="03782EB8"/>
    <w:rsid w:val="03836A76"/>
    <w:rsid w:val="04010B7B"/>
    <w:rsid w:val="04592503"/>
    <w:rsid w:val="04AF5B15"/>
    <w:rsid w:val="05127342"/>
    <w:rsid w:val="068A12C2"/>
    <w:rsid w:val="07174E85"/>
    <w:rsid w:val="083062F4"/>
    <w:rsid w:val="08F5187C"/>
    <w:rsid w:val="09C556F2"/>
    <w:rsid w:val="0AA90BA8"/>
    <w:rsid w:val="0B5331D2"/>
    <w:rsid w:val="0B621425"/>
    <w:rsid w:val="0C657421"/>
    <w:rsid w:val="0CA072C0"/>
    <w:rsid w:val="0CC4212C"/>
    <w:rsid w:val="0E8D1387"/>
    <w:rsid w:val="0EDD528C"/>
    <w:rsid w:val="0FA17210"/>
    <w:rsid w:val="0FD95909"/>
    <w:rsid w:val="107E311B"/>
    <w:rsid w:val="11B61DC5"/>
    <w:rsid w:val="1210282C"/>
    <w:rsid w:val="13144E5E"/>
    <w:rsid w:val="1319126E"/>
    <w:rsid w:val="13243989"/>
    <w:rsid w:val="13AB20BD"/>
    <w:rsid w:val="13D15E24"/>
    <w:rsid w:val="152C3ECC"/>
    <w:rsid w:val="158F3058"/>
    <w:rsid w:val="16AA7570"/>
    <w:rsid w:val="190B7F51"/>
    <w:rsid w:val="19C21B23"/>
    <w:rsid w:val="1A1B135F"/>
    <w:rsid w:val="1A325357"/>
    <w:rsid w:val="1A534654"/>
    <w:rsid w:val="1A5F2FF9"/>
    <w:rsid w:val="1A676352"/>
    <w:rsid w:val="1A74583C"/>
    <w:rsid w:val="1B765E86"/>
    <w:rsid w:val="1BBB713A"/>
    <w:rsid w:val="1CD20CA8"/>
    <w:rsid w:val="1D34198B"/>
    <w:rsid w:val="1D5A0AE6"/>
    <w:rsid w:val="1D8726CB"/>
    <w:rsid w:val="1DDB74E0"/>
    <w:rsid w:val="1E1B2A71"/>
    <w:rsid w:val="1E9331EE"/>
    <w:rsid w:val="204C363E"/>
    <w:rsid w:val="21840872"/>
    <w:rsid w:val="21B31A57"/>
    <w:rsid w:val="224170A0"/>
    <w:rsid w:val="22EC7DE8"/>
    <w:rsid w:val="23E763F0"/>
    <w:rsid w:val="240F2ADC"/>
    <w:rsid w:val="24894659"/>
    <w:rsid w:val="24BD373E"/>
    <w:rsid w:val="24DD1B9F"/>
    <w:rsid w:val="25C24D84"/>
    <w:rsid w:val="26537F05"/>
    <w:rsid w:val="266A40B9"/>
    <w:rsid w:val="275F2D24"/>
    <w:rsid w:val="27EA52C8"/>
    <w:rsid w:val="2940049A"/>
    <w:rsid w:val="29A23DAA"/>
    <w:rsid w:val="2A282CB7"/>
    <w:rsid w:val="2A5764F4"/>
    <w:rsid w:val="2F9D5718"/>
    <w:rsid w:val="30985AB1"/>
    <w:rsid w:val="30CE7D0A"/>
    <w:rsid w:val="31993E7B"/>
    <w:rsid w:val="321C1B85"/>
    <w:rsid w:val="33BA709B"/>
    <w:rsid w:val="33D12D62"/>
    <w:rsid w:val="33DC34B5"/>
    <w:rsid w:val="34F747DB"/>
    <w:rsid w:val="352F227E"/>
    <w:rsid w:val="35883A21"/>
    <w:rsid w:val="35F2592E"/>
    <w:rsid w:val="36721EAF"/>
    <w:rsid w:val="37B7226F"/>
    <w:rsid w:val="37D9257F"/>
    <w:rsid w:val="384C4D44"/>
    <w:rsid w:val="38845123"/>
    <w:rsid w:val="388E449C"/>
    <w:rsid w:val="38C878DF"/>
    <w:rsid w:val="394538AA"/>
    <w:rsid w:val="39731517"/>
    <w:rsid w:val="3A1F1505"/>
    <w:rsid w:val="3C894B6B"/>
    <w:rsid w:val="3C8A0880"/>
    <w:rsid w:val="3ECB6600"/>
    <w:rsid w:val="3EEF6A08"/>
    <w:rsid w:val="3F293F7E"/>
    <w:rsid w:val="3F424B14"/>
    <w:rsid w:val="3FF51B86"/>
    <w:rsid w:val="40672358"/>
    <w:rsid w:val="406800A0"/>
    <w:rsid w:val="41566A79"/>
    <w:rsid w:val="429A4F68"/>
    <w:rsid w:val="430C481C"/>
    <w:rsid w:val="438D7722"/>
    <w:rsid w:val="446A1DF1"/>
    <w:rsid w:val="44F17A51"/>
    <w:rsid w:val="45B63B66"/>
    <w:rsid w:val="465C0A4C"/>
    <w:rsid w:val="480768FB"/>
    <w:rsid w:val="4896798C"/>
    <w:rsid w:val="48D65B21"/>
    <w:rsid w:val="4B241572"/>
    <w:rsid w:val="4BEF2CA4"/>
    <w:rsid w:val="4CCA75E6"/>
    <w:rsid w:val="4E255D2C"/>
    <w:rsid w:val="4EB64BD7"/>
    <w:rsid w:val="4EC47DD1"/>
    <w:rsid w:val="517630BB"/>
    <w:rsid w:val="51816D88"/>
    <w:rsid w:val="51FB66C0"/>
    <w:rsid w:val="526D7CA2"/>
    <w:rsid w:val="52894210"/>
    <w:rsid w:val="535417EB"/>
    <w:rsid w:val="53FC7FF5"/>
    <w:rsid w:val="580A211D"/>
    <w:rsid w:val="581934E5"/>
    <w:rsid w:val="5A1B7D10"/>
    <w:rsid w:val="5A257B45"/>
    <w:rsid w:val="5AB521E6"/>
    <w:rsid w:val="5B3837A5"/>
    <w:rsid w:val="5B751975"/>
    <w:rsid w:val="5BF159D6"/>
    <w:rsid w:val="5C54781A"/>
    <w:rsid w:val="5CE445E9"/>
    <w:rsid w:val="5D0E70DE"/>
    <w:rsid w:val="605E61C4"/>
    <w:rsid w:val="60B13450"/>
    <w:rsid w:val="622F287E"/>
    <w:rsid w:val="63CF256B"/>
    <w:rsid w:val="63D65BA2"/>
    <w:rsid w:val="644074C9"/>
    <w:rsid w:val="64F740D7"/>
    <w:rsid w:val="65721688"/>
    <w:rsid w:val="67CE0D8B"/>
    <w:rsid w:val="68C3225A"/>
    <w:rsid w:val="68E6505A"/>
    <w:rsid w:val="69AB3FE2"/>
    <w:rsid w:val="6A774588"/>
    <w:rsid w:val="6B806ECC"/>
    <w:rsid w:val="6B9977B2"/>
    <w:rsid w:val="6BC8789F"/>
    <w:rsid w:val="6D673814"/>
    <w:rsid w:val="6EB140F1"/>
    <w:rsid w:val="6EE778C4"/>
    <w:rsid w:val="6F0C7680"/>
    <w:rsid w:val="70372129"/>
    <w:rsid w:val="715A543E"/>
    <w:rsid w:val="721D1B47"/>
    <w:rsid w:val="723801E3"/>
    <w:rsid w:val="724C4D86"/>
    <w:rsid w:val="725D1257"/>
    <w:rsid w:val="74A97F3B"/>
    <w:rsid w:val="74AF2DDE"/>
    <w:rsid w:val="7521658D"/>
    <w:rsid w:val="7554009A"/>
    <w:rsid w:val="75D57F1B"/>
    <w:rsid w:val="760E4505"/>
    <w:rsid w:val="76BF6CC5"/>
    <w:rsid w:val="77015FCD"/>
    <w:rsid w:val="770C0F88"/>
    <w:rsid w:val="78A04FA1"/>
    <w:rsid w:val="78C0202A"/>
    <w:rsid w:val="78C064CE"/>
    <w:rsid w:val="79577B76"/>
    <w:rsid w:val="79660E24"/>
    <w:rsid w:val="7AD46261"/>
    <w:rsid w:val="7BE425B1"/>
    <w:rsid w:val="7CFD03AB"/>
    <w:rsid w:val="7D29159B"/>
    <w:rsid w:val="7DBA4CD5"/>
    <w:rsid w:val="7DC07E42"/>
    <w:rsid w:val="7DFD2DDA"/>
    <w:rsid w:val="7E3F2705"/>
    <w:rsid w:val="7E6C03C9"/>
    <w:rsid w:val="7F46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0"/>
    <w:pPr>
      <w:keepNext/>
      <w:jc w:val="center"/>
      <w:outlineLvl w:val="0"/>
    </w:pPr>
    <w:rPr>
      <w:b/>
      <w:bCs/>
      <w:kern w:val="0"/>
      <w:sz w:val="24"/>
      <w:szCs w:val="20"/>
    </w:rPr>
  </w:style>
  <w:style w:type="paragraph" w:styleId="6">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line="480" w:lineRule="auto"/>
      <w:ind w:left="420" w:leftChars="200"/>
    </w:pPr>
  </w:style>
  <w:style w:type="paragraph" w:styleId="9">
    <w:name w:val="Normal Indent"/>
    <w:basedOn w:val="1"/>
    <w:qFormat/>
    <w:uiPriority w:val="0"/>
    <w:pPr>
      <w:ind w:firstLine="420" w:firstLineChars="200"/>
    </w:pPr>
  </w:style>
  <w:style w:type="paragraph" w:styleId="10">
    <w:name w:val="Body Text"/>
    <w:basedOn w:val="1"/>
    <w:next w:val="11"/>
    <w:qFormat/>
    <w:uiPriority w:val="0"/>
    <w:pPr>
      <w:spacing w:after="120"/>
    </w:pPr>
    <w:rPr>
      <w:kern w:val="0"/>
      <w:sz w:val="20"/>
    </w:rPr>
  </w:style>
  <w:style w:type="paragraph" w:styleId="11">
    <w:name w:val="Body Text First Indent"/>
    <w:basedOn w:val="10"/>
    <w:next w:val="12"/>
    <w:qFormat/>
    <w:uiPriority w:val="0"/>
    <w:pPr>
      <w:ind w:firstLine="420" w:firstLineChars="100"/>
    </w:pPr>
  </w:style>
  <w:style w:type="paragraph" w:styleId="12">
    <w:name w:val="Body Text Indent 3"/>
    <w:basedOn w:val="1"/>
    <w:qFormat/>
    <w:uiPriority w:val="0"/>
    <w:pPr>
      <w:spacing w:after="120"/>
      <w:ind w:left="420" w:leftChars="200"/>
    </w:pPr>
    <w:rPr>
      <w:sz w:val="16"/>
      <w:szCs w:val="16"/>
    </w:r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rPr>
      <w:sz w:val="24"/>
      <w:szCs w:val="20"/>
    </w:rPr>
  </w:style>
  <w:style w:type="paragraph" w:styleId="15">
    <w:name w:val="Balloon Text"/>
    <w:basedOn w:val="1"/>
    <w:link w:val="47"/>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59"/>
    <w:pPr>
      <w:numPr>
        <w:ilvl w:val="0"/>
        <w:numId w:val="1"/>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color w:val="800080"/>
      <w:u w:val="none"/>
    </w:rPr>
  </w:style>
  <w:style w:type="character" w:styleId="25">
    <w:name w:val="Hyperlink"/>
    <w:basedOn w:val="21"/>
    <w:qFormat/>
    <w:uiPriority w:val="0"/>
    <w:rPr>
      <w:color w:val="0000FF"/>
      <w:u w:val="none"/>
    </w:rPr>
  </w:style>
  <w:style w:type="paragraph" w:customStyle="1" w:styleId="26">
    <w:name w:val="样式2"/>
    <w:basedOn w:val="27"/>
    <w:next w:val="1"/>
    <w:qFormat/>
    <w:uiPriority w:val="0"/>
    <w:pPr>
      <w:spacing w:line="415" w:lineRule="auto"/>
    </w:pPr>
  </w:style>
  <w:style w:type="paragraph" w:customStyle="1" w:styleId="27">
    <w:name w:val="样式1"/>
    <w:basedOn w:val="1"/>
    <w:next w:val="1"/>
    <w:qFormat/>
    <w:uiPriority w:val="0"/>
    <w:pPr>
      <w:spacing w:line="360" w:lineRule="auto"/>
      <w:ind w:firstLine="420" w:firstLineChars="200"/>
    </w:pPr>
    <w:rPr>
      <w:szCs w:val="21"/>
    </w:rPr>
  </w:style>
  <w:style w:type="character" w:customStyle="1" w:styleId="28">
    <w:name w:val="标题 1 Char"/>
    <w:link w:val="5"/>
    <w:qFormat/>
    <w:uiPriority w:val="0"/>
    <w:rPr>
      <w:b/>
      <w:bCs/>
      <w:sz w:val="24"/>
      <w:szCs w:val="20"/>
    </w:rPr>
  </w:style>
  <w:style w:type="paragraph" w:customStyle="1" w:styleId="29">
    <w:name w:val="_Style 3"/>
    <w:basedOn w:val="1"/>
    <w:next w:val="1"/>
    <w:qFormat/>
    <w:uiPriority w:val="99"/>
    <w:pPr>
      <w:pBdr>
        <w:bottom w:val="single" w:color="auto" w:sz="6" w:space="1"/>
      </w:pBdr>
      <w:jc w:val="center"/>
    </w:pPr>
    <w:rPr>
      <w:rFonts w:ascii="Arial"/>
      <w:vanish/>
      <w:sz w:val="16"/>
    </w:rPr>
  </w:style>
  <w:style w:type="paragraph" w:styleId="30">
    <w:name w:val="List Paragraph"/>
    <w:basedOn w:val="1"/>
    <w:qFormat/>
    <w:uiPriority w:val="99"/>
    <w:pPr>
      <w:ind w:firstLine="420" w:firstLineChars="200"/>
    </w:pPr>
  </w:style>
  <w:style w:type="paragraph" w:customStyle="1" w:styleId="31">
    <w:name w:val="正文文字"/>
    <w:basedOn w:val="1"/>
    <w:next w:val="1"/>
    <w:qFormat/>
    <w:uiPriority w:val="99"/>
    <w:pPr>
      <w:spacing w:after="120"/>
    </w:pPr>
  </w:style>
  <w:style w:type="paragraph" w:customStyle="1" w:styleId="32">
    <w:name w:val="列出段落1"/>
    <w:basedOn w:val="1"/>
    <w:qFormat/>
    <w:uiPriority w:val="0"/>
    <w:pPr>
      <w:ind w:firstLine="420" w:firstLineChars="200"/>
    </w:pPr>
    <w:rPr>
      <w:rFonts w:ascii="Calibri" w:hAnsi="Calibri" w:cs="Calibri"/>
      <w:szCs w:val="21"/>
    </w:rPr>
  </w:style>
  <w:style w:type="character" w:customStyle="1" w:styleId="33">
    <w:name w:val="标题 1 Char1"/>
    <w:link w:val="5"/>
    <w:qFormat/>
    <w:uiPriority w:val="0"/>
    <w:rPr>
      <w:rFonts w:ascii="Times New Roman" w:hAnsi="Times New Roman" w:eastAsia="宋体" w:cs="Times New Roman"/>
      <w:b/>
      <w:bCs/>
      <w:sz w:val="24"/>
      <w:szCs w:val="20"/>
    </w:rPr>
  </w:style>
  <w:style w:type="paragraph" w:customStyle="1" w:styleId="34">
    <w:name w:val="p0"/>
    <w:basedOn w:val="1"/>
    <w:qFormat/>
    <w:uiPriority w:val="0"/>
    <w:pPr>
      <w:widowControl/>
    </w:pPr>
    <w:rPr>
      <w:kern w:val="0"/>
      <w:szCs w:val="21"/>
    </w:rPr>
  </w:style>
  <w:style w:type="paragraph" w:customStyle="1" w:styleId="35">
    <w:name w:val="段"/>
    <w:next w:val="1"/>
    <w:qFormat/>
    <w:uiPriority w:val="0"/>
    <w:pPr>
      <w:widowControl w:val="0"/>
      <w:autoSpaceDE w:val="0"/>
      <w:autoSpaceDN w:val="0"/>
      <w:ind w:left="360"/>
      <w:jc w:val="both"/>
    </w:pPr>
    <w:rPr>
      <w:rFonts w:ascii="宋体" w:hAnsi="新宋体" w:eastAsia="宋体" w:cs="Times New Roman"/>
      <w:kern w:val="2"/>
      <w:sz w:val="24"/>
      <w:szCs w:val="24"/>
      <w:lang w:val="en-US" w:eastAsia="zh-CN" w:bidi="ar-SA"/>
    </w:rPr>
  </w:style>
  <w:style w:type="paragraph" w:customStyle="1" w:styleId="36">
    <w:name w:val="_Style 10"/>
    <w:basedOn w:val="1"/>
    <w:qFormat/>
    <w:uiPriority w:val="0"/>
    <w:pPr>
      <w:ind w:firstLine="420" w:firstLineChars="200"/>
    </w:pPr>
    <w:rPr>
      <w:rFonts w:ascii="Calibri" w:hAnsi="Calibri"/>
      <w:szCs w:val="20"/>
    </w:rPr>
  </w:style>
  <w:style w:type="character" w:customStyle="1" w:styleId="37">
    <w:name w:val="font11"/>
    <w:basedOn w:val="21"/>
    <w:qFormat/>
    <w:uiPriority w:val="0"/>
    <w:rPr>
      <w:rFonts w:hint="eastAsia" w:ascii="宋体" w:hAnsi="宋体" w:eastAsia="宋体" w:cs="宋体"/>
      <w:color w:val="000000"/>
      <w:sz w:val="16"/>
      <w:szCs w:val="16"/>
      <w:u w:val="none"/>
    </w:rPr>
  </w:style>
  <w:style w:type="character" w:customStyle="1" w:styleId="38">
    <w:name w:val="font91"/>
    <w:basedOn w:val="21"/>
    <w:qFormat/>
    <w:uiPriority w:val="0"/>
    <w:rPr>
      <w:rFonts w:hint="eastAsia" w:ascii="宋体" w:hAnsi="宋体" w:eastAsia="宋体" w:cs="宋体"/>
      <w:b/>
      <w:color w:val="000000"/>
      <w:sz w:val="16"/>
      <w:szCs w:val="16"/>
      <w:u w:val="none"/>
    </w:rPr>
  </w:style>
  <w:style w:type="character" w:customStyle="1" w:styleId="39">
    <w:name w:val="font81"/>
    <w:basedOn w:val="21"/>
    <w:qFormat/>
    <w:uiPriority w:val="0"/>
    <w:rPr>
      <w:rFonts w:hint="default" w:ascii="等线" w:hAnsi="等线" w:eastAsia="等线" w:cs="等线"/>
      <w:color w:val="000000"/>
      <w:sz w:val="18"/>
      <w:szCs w:val="18"/>
      <w:u w:val="none"/>
    </w:rPr>
  </w:style>
  <w:style w:type="character" w:customStyle="1" w:styleId="40">
    <w:name w:val="font61"/>
    <w:basedOn w:val="21"/>
    <w:qFormat/>
    <w:uiPriority w:val="0"/>
    <w:rPr>
      <w:rFonts w:hint="eastAsia" w:ascii="宋体" w:hAnsi="宋体" w:eastAsia="宋体" w:cs="宋体"/>
      <w:color w:val="000000"/>
      <w:sz w:val="18"/>
      <w:szCs w:val="18"/>
      <w:u w:val="none"/>
    </w:rPr>
  </w:style>
  <w:style w:type="character" w:customStyle="1" w:styleId="41">
    <w:name w:val="font01"/>
    <w:basedOn w:val="21"/>
    <w:qFormat/>
    <w:uiPriority w:val="0"/>
    <w:rPr>
      <w:rFonts w:ascii="Calibri" w:hAnsi="Calibri" w:cs="Calibri"/>
      <w:color w:val="000000"/>
      <w:sz w:val="16"/>
      <w:szCs w:val="16"/>
      <w:u w:val="none"/>
    </w:rPr>
  </w:style>
  <w:style w:type="character" w:customStyle="1" w:styleId="42">
    <w:name w:val="font31"/>
    <w:basedOn w:val="21"/>
    <w:qFormat/>
    <w:uiPriority w:val="0"/>
    <w:rPr>
      <w:rFonts w:hint="default" w:ascii="等线 Light" w:hAnsi="等线 Light" w:eastAsia="等线 Light" w:cs="等线 Light"/>
      <w:color w:val="000000"/>
      <w:sz w:val="18"/>
      <w:szCs w:val="18"/>
      <w:u w:val="none"/>
    </w:rPr>
  </w:style>
  <w:style w:type="character" w:customStyle="1" w:styleId="43">
    <w:name w:val="font51"/>
    <w:basedOn w:val="21"/>
    <w:qFormat/>
    <w:uiPriority w:val="0"/>
    <w:rPr>
      <w:rFonts w:ascii="华文楷体" w:hAnsi="华文楷体" w:eastAsia="华文楷体" w:cs="华文楷体"/>
      <w:color w:val="000000"/>
      <w:sz w:val="20"/>
      <w:szCs w:val="20"/>
      <w:u w:val="none"/>
    </w:rPr>
  </w:style>
  <w:style w:type="character" w:customStyle="1" w:styleId="44">
    <w:name w:val="font122"/>
    <w:basedOn w:val="21"/>
    <w:qFormat/>
    <w:uiPriority w:val="0"/>
    <w:rPr>
      <w:rFonts w:ascii="华文楷体" w:hAnsi="华文楷体" w:eastAsia="华文楷体" w:cs="华文楷体"/>
      <w:color w:val="000000"/>
      <w:sz w:val="18"/>
      <w:szCs w:val="18"/>
      <w:u w:val="none"/>
    </w:rPr>
  </w:style>
  <w:style w:type="character" w:customStyle="1" w:styleId="45">
    <w:name w:val="font161"/>
    <w:basedOn w:val="21"/>
    <w:qFormat/>
    <w:uiPriority w:val="0"/>
    <w:rPr>
      <w:rFonts w:ascii="华文楷体" w:hAnsi="华文楷体" w:eastAsia="华文楷体" w:cs="华文楷体"/>
      <w:color w:val="000000"/>
      <w:sz w:val="20"/>
      <w:szCs w:val="20"/>
      <w:u w:val="none"/>
    </w:rPr>
  </w:style>
  <w:style w:type="character" w:customStyle="1" w:styleId="46">
    <w:name w:val="font151"/>
    <w:basedOn w:val="21"/>
    <w:qFormat/>
    <w:uiPriority w:val="0"/>
    <w:rPr>
      <w:rFonts w:ascii="华文楷体" w:hAnsi="华文楷体" w:eastAsia="华文楷体" w:cs="华文楷体"/>
      <w:color w:val="000000"/>
      <w:sz w:val="20"/>
      <w:szCs w:val="20"/>
      <w:u w:val="none"/>
    </w:rPr>
  </w:style>
  <w:style w:type="character" w:customStyle="1" w:styleId="47">
    <w:name w:val="批注框文本 Char"/>
    <w:basedOn w:val="21"/>
    <w:link w:val="15"/>
    <w:qFormat/>
    <w:uiPriority w:val="0"/>
    <w:rPr>
      <w:kern w:val="2"/>
      <w:sz w:val="18"/>
      <w:szCs w:val="18"/>
    </w:rPr>
  </w:style>
  <w:style w:type="character" w:customStyle="1" w:styleId="48">
    <w:name w:val="10_5"/>
    <w:basedOn w:val="21"/>
    <w:qFormat/>
    <w:uiPriority w:val="0"/>
    <w:rPr>
      <w:rFonts w:hint="default" w:ascii="Times New Roman" w:hAnsi="Times New Roman" w:cs="Times New Roman"/>
    </w:rPr>
  </w:style>
  <w:style w:type="character" w:customStyle="1" w:styleId="49">
    <w:name w:val="dot"/>
    <w:basedOn w:val="21"/>
    <w:qFormat/>
    <w:uiPriority w:val="0"/>
  </w:style>
  <w:style w:type="character" w:customStyle="1" w:styleId="50">
    <w:name w:val="isnow"/>
    <w:basedOn w:val="21"/>
    <w:qFormat/>
    <w:uiPriority w:val="0"/>
    <w:rPr>
      <w:color w:val="FFFFFF"/>
      <w:shd w:val="clear" w:color="auto" w:fill="FF6801"/>
    </w:rPr>
  </w:style>
  <w:style w:type="paragraph" w:customStyle="1" w:styleId="51">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23</Pages>
  <Words>8292</Words>
  <Characters>8862</Characters>
  <Paragraphs>911</Paragraphs>
  <TotalTime>2</TotalTime>
  <ScaleCrop>false</ScaleCrop>
  <LinksUpToDate>false</LinksUpToDate>
  <CharactersWithSpaces>9751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张少</dc:creator>
  <cp:lastModifiedBy>沛</cp:lastModifiedBy>
  <cp:lastPrinted>2025-08-26T01:41:00Z</cp:lastPrinted>
  <dcterms:modified xsi:type="dcterms:W3CDTF">2026-04-08T06:13:01Z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EA5ACF56056E41F4BBE150D3F82176E4_13</vt:lpwstr>
  </property>
  <property fmtid="{D5CDD505-2E9C-101B-9397-08002B2CF9AE}" pid="4" name="KSOTemplateDocerSaveRecord">
    <vt:lpwstr>eyJoZGlkIjoiNTdhZDhkZWExMWVjMTI4ZGNkNjYyMGVmODM0NGI1OTQiLCJ1c2VySWQiOiI5NTc5MzU2MTkifQ==</vt:lpwstr>
  </property>
</Properties>
</file>