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2B28">
      <w:pPr>
        <w:rPr>
          <w:rFonts w:ascii="黑体" w:eastAsia="黑体"/>
          <w:color w:val="auto"/>
          <w:sz w:val="32"/>
          <w:szCs w:val="32"/>
          <w:highlight w:val="none"/>
        </w:rPr>
      </w:pPr>
    </w:p>
    <w:p w14:paraId="3567E748">
      <w:pPr>
        <w:rPr>
          <w:rFonts w:ascii="黑体" w:eastAsia="黑体"/>
          <w:color w:val="auto"/>
          <w:sz w:val="32"/>
          <w:szCs w:val="32"/>
          <w:highlight w:val="none"/>
        </w:rPr>
      </w:pPr>
    </w:p>
    <w:p w14:paraId="270A7FF1">
      <w:pPr>
        <w:pStyle w:val="13"/>
        <w:adjustRightInd w:val="0"/>
        <w:snapToGrid w:val="0"/>
        <w:spacing w:line="360" w:lineRule="auto"/>
        <w:rPr>
          <w:rFonts w:hAnsi="宋体"/>
          <w:b/>
          <w:color w:val="auto"/>
          <w:sz w:val="32"/>
          <w:szCs w:val="32"/>
          <w:highlight w:val="none"/>
        </w:rPr>
      </w:pPr>
    </w:p>
    <w:p w14:paraId="43409A38">
      <w:pPr>
        <w:pStyle w:val="13"/>
        <w:adjustRightInd w:val="0"/>
        <w:snapToGrid w:val="0"/>
        <w:spacing w:line="360" w:lineRule="auto"/>
        <w:jc w:val="center"/>
        <w:rPr>
          <w:rFonts w:hAnsi="宋体"/>
          <w:b/>
          <w:color w:val="auto"/>
          <w:sz w:val="84"/>
          <w:szCs w:val="84"/>
          <w:highlight w:val="none"/>
        </w:rPr>
      </w:pPr>
    </w:p>
    <w:p w14:paraId="13F77C2E">
      <w:pPr>
        <w:pStyle w:val="1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lang w:val="en-US" w:eastAsia="zh-CN"/>
        </w:rPr>
        <w:t>竞争性谈判采购</w:t>
      </w:r>
      <w:r>
        <w:rPr>
          <w:rFonts w:hint="eastAsia" w:hAnsi="宋体"/>
          <w:b/>
          <w:color w:val="auto"/>
          <w:sz w:val="84"/>
          <w:szCs w:val="84"/>
          <w:highlight w:val="none"/>
        </w:rPr>
        <w:t>文件</w:t>
      </w:r>
    </w:p>
    <w:p w14:paraId="59F146CB">
      <w:pPr>
        <w:pStyle w:val="13"/>
        <w:adjustRightInd w:val="0"/>
        <w:snapToGrid w:val="0"/>
        <w:spacing w:beforeLines="50" w:line="360" w:lineRule="auto"/>
        <w:rPr>
          <w:b/>
          <w:color w:val="auto"/>
          <w:sz w:val="32"/>
          <w:szCs w:val="32"/>
          <w:highlight w:val="none"/>
        </w:rPr>
      </w:pPr>
    </w:p>
    <w:p w14:paraId="0CAE3538">
      <w:pPr>
        <w:pStyle w:val="13"/>
        <w:adjustRightInd w:val="0"/>
        <w:snapToGrid w:val="0"/>
        <w:spacing w:beforeLines="50" w:line="480" w:lineRule="auto"/>
        <w:ind w:firstLine="960" w:firstLineChars="300"/>
        <w:rPr>
          <w:rFonts w:hAnsi="宋体"/>
          <w:color w:val="auto"/>
          <w:sz w:val="32"/>
          <w:szCs w:val="32"/>
          <w:highlight w:val="none"/>
        </w:rPr>
      </w:pPr>
    </w:p>
    <w:p w14:paraId="6E4B2F5A">
      <w:pPr>
        <w:pStyle w:val="13"/>
        <w:adjustRightInd w:val="0"/>
        <w:snapToGrid w:val="0"/>
        <w:spacing w:beforeLines="50" w:line="480" w:lineRule="auto"/>
        <w:rPr>
          <w:rFonts w:hAnsi="宋体"/>
          <w:color w:val="auto"/>
          <w:sz w:val="32"/>
          <w:szCs w:val="32"/>
          <w:highlight w:val="none"/>
        </w:rPr>
      </w:pPr>
    </w:p>
    <w:p w14:paraId="30F82FC7">
      <w:pPr>
        <w:pStyle w:val="13"/>
        <w:keepNext w:val="0"/>
        <w:keepLines w:val="0"/>
        <w:pageBreakBefore w:val="0"/>
        <w:widowControl w:val="0"/>
        <w:kinsoku/>
        <w:wordWrap/>
        <w:overflowPunct/>
        <w:topLinePunct w:val="0"/>
        <w:autoSpaceDE/>
        <w:autoSpaceDN/>
        <w:bidi w:val="0"/>
        <w:adjustRightInd w:val="0"/>
        <w:snapToGrid w:val="0"/>
        <w:spacing w:beforeLines="50" w:line="360" w:lineRule="auto"/>
        <w:ind w:left="2718" w:leftChars="456" w:hanging="1760" w:hangingChars="550"/>
        <w:jc w:val="left"/>
        <w:textAlignment w:val="auto"/>
        <w:rPr>
          <w:rFonts w:hint="default" w:hAnsi="宋体"/>
          <w:b/>
          <w:bCs/>
          <w:color w:val="auto"/>
          <w:sz w:val="32"/>
          <w:szCs w:val="32"/>
          <w:highlight w:val="none"/>
          <w:u w:val="single"/>
          <w:lang w:val="en-US" w:eastAsia="zh-CN"/>
        </w:rPr>
      </w:pPr>
      <w:r>
        <w:rPr>
          <w:rFonts w:hint="eastAsia" w:hAnsi="宋体"/>
          <w:color w:val="auto"/>
          <w:sz w:val="32"/>
          <w:szCs w:val="32"/>
          <w:highlight w:val="none"/>
          <w:lang w:val="en-US" w:eastAsia="zh-CN"/>
        </w:rPr>
        <w:t>项目名称：</w:t>
      </w:r>
      <w:r>
        <w:rPr>
          <w:rFonts w:hint="eastAsia" w:hAnsi="宋体"/>
          <w:b/>
          <w:bCs/>
          <w:color w:val="auto"/>
          <w:sz w:val="32"/>
          <w:szCs w:val="32"/>
          <w:highlight w:val="none"/>
          <w:u w:val="single"/>
          <w:lang w:val="en-US" w:eastAsia="zh-CN"/>
        </w:rPr>
        <w:t xml:space="preserve">株洲北斗应用与信息技术产业示范基地配套基础设施项目（一期）厂房钢结构材料采购 </w:t>
      </w:r>
    </w:p>
    <w:p w14:paraId="2726CA95">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r>
        <w:rPr>
          <w:rFonts w:hint="eastAsia" w:hAnsi="宋体"/>
          <w:color w:val="auto"/>
          <w:sz w:val="32"/>
          <w:szCs w:val="32"/>
          <w:highlight w:val="none"/>
        </w:rPr>
        <w:t>采 购 人：</w:t>
      </w:r>
      <w:r>
        <w:rPr>
          <w:rFonts w:hint="eastAsia" w:hAnsi="宋体"/>
          <w:b/>
          <w:bCs/>
          <w:color w:val="auto"/>
          <w:sz w:val="32"/>
          <w:szCs w:val="32"/>
          <w:highlight w:val="none"/>
          <w:u w:val="single"/>
          <w:lang w:val="en-US" w:eastAsia="zh-CN"/>
        </w:rPr>
        <w:t>株洲市云龙发展集团城市建设有限公司</w:t>
      </w:r>
    </w:p>
    <w:p w14:paraId="7EFD629C">
      <w:pPr>
        <w:pStyle w:val="13"/>
        <w:adjustRightInd w:val="0"/>
        <w:snapToGrid w:val="0"/>
        <w:spacing w:beforeLines="50" w:line="360" w:lineRule="auto"/>
        <w:ind w:firstLine="960" w:firstLineChars="300"/>
        <w:rPr>
          <w:rFonts w:hint="eastAsia" w:hAnsi="宋体" w:eastAsia="宋体"/>
          <w:color w:val="auto"/>
          <w:sz w:val="32"/>
          <w:szCs w:val="32"/>
          <w:highlight w:val="none"/>
          <w:lang w:eastAsia="zh-CN"/>
        </w:rPr>
      </w:pPr>
    </w:p>
    <w:p w14:paraId="75ABF7D4">
      <w:pPr>
        <w:pStyle w:val="13"/>
        <w:adjustRightInd w:val="0"/>
        <w:snapToGrid w:val="0"/>
        <w:spacing w:beforeLines="50" w:line="360" w:lineRule="auto"/>
        <w:ind w:firstLine="960" w:firstLineChars="300"/>
        <w:rPr>
          <w:rFonts w:hint="default" w:hAnsi="宋体" w:eastAsia="宋体"/>
          <w:b/>
          <w:bCs/>
          <w:color w:val="auto"/>
          <w:sz w:val="32"/>
          <w:szCs w:val="32"/>
          <w:highlight w:val="none"/>
          <w:u w:val="single"/>
          <w:lang w:val="en-US" w:eastAsia="zh-CN"/>
        </w:rPr>
        <w:sectPr>
          <w:footerReference r:id="rId3"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hAnsi="宋体"/>
          <w:color w:val="auto"/>
          <w:sz w:val="32"/>
          <w:szCs w:val="32"/>
          <w:highlight w:val="none"/>
        </w:rPr>
        <w:t>日    期：</w:t>
      </w:r>
      <w:r>
        <w:rPr>
          <w:rFonts w:hint="eastAsia" w:hAnsi="宋体"/>
          <w:b/>
          <w:bCs/>
          <w:color w:val="auto"/>
          <w:sz w:val="32"/>
          <w:szCs w:val="32"/>
          <w:highlight w:val="none"/>
          <w:u w:val="single"/>
        </w:rPr>
        <w:t>二〇二</w:t>
      </w:r>
      <w:r>
        <w:rPr>
          <w:rFonts w:hint="eastAsia" w:hAnsi="宋体"/>
          <w:b/>
          <w:bCs/>
          <w:color w:val="auto"/>
          <w:sz w:val="32"/>
          <w:szCs w:val="32"/>
          <w:highlight w:val="none"/>
          <w:u w:val="single"/>
          <w:lang w:val="en-US" w:eastAsia="zh-CN"/>
        </w:rPr>
        <w:t>六</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四</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 xml:space="preserve">   </w:t>
      </w:r>
    </w:p>
    <w:p w14:paraId="6A88E327">
      <w:pPr>
        <w:pStyle w:val="13"/>
        <w:adjustRightInd w:val="0"/>
        <w:snapToGrid w:val="0"/>
        <w:spacing w:line="360" w:lineRule="auto"/>
        <w:jc w:val="center"/>
        <w:rPr>
          <w:rFonts w:ascii="黑体" w:hAnsi="宋体" w:eastAsia="黑体"/>
          <w:b/>
          <w:color w:val="auto"/>
          <w:spacing w:val="160"/>
          <w:sz w:val="32"/>
          <w:szCs w:val="32"/>
          <w:highlight w:val="none"/>
        </w:rPr>
      </w:pPr>
      <w:r>
        <w:rPr>
          <w:rFonts w:hint="eastAsia" w:ascii="黑体" w:hAnsi="宋体" w:eastAsia="黑体"/>
          <w:b/>
          <w:color w:val="auto"/>
          <w:spacing w:val="160"/>
          <w:sz w:val="32"/>
          <w:szCs w:val="32"/>
          <w:highlight w:val="none"/>
        </w:rPr>
        <w:t>目录</w:t>
      </w:r>
    </w:p>
    <w:p w14:paraId="48E7B8DB">
      <w:pPr>
        <w:pStyle w:val="13"/>
        <w:adjustRightInd w:val="0"/>
        <w:snapToGrid w:val="0"/>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rPr>
        <w:t xml:space="preserve">第一章  </w:t>
      </w:r>
      <w:r>
        <w:rPr>
          <w:rFonts w:hint="eastAsia" w:hAnsi="宋体"/>
          <w:b/>
          <w:color w:val="auto"/>
          <w:sz w:val="24"/>
          <w:szCs w:val="24"/>
          <w:highlight w:val="none"/>
          <w:lang w:val="en-US" w:eastAsia="zh-CN"/>
        </w:rPr>
        <w:t>竞谈</w:t>
      </w:r>
      <w:r>
        <w:rPr>
          <w:rFonts w:hint="eastAsia" w:hAnsi="宋体"/>
          <w:b/>
          <w:color w:val="auto"/>
          <w:sz w:val="24"/>
          <w:szCs w:val="24"/>
          <w:highlight w:val="none"/>
          <w:lang w:eastAsia="zh-CN"/>
        </w:rPr>
        <w:t>采购邀请书</w:t>
      </w:r>
    </w:p>
    <w:p w14:paraId="0379E16E">
      <w:pPr>
        <w:pStyle w:val="1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供应商须知</w:t>
      </w:r>
    </w:p>
    <w:p w14:paraId="4B4D05B3">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评审办法</w:t>
      </w:r>
    </w:p>
    <w:p w14:paraId="30E0274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089CC54">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第五章  响应文件组成</w:t>
      </w:r>
    </w:p>
    <w:p w14:paraId="395D95A3">
      <w:pPr>
        <w:rPr>
          <w:rFonts w:ascii="宋体" w:hAnsi="宋体" w:cs="宋体"/>
          <w:b/>
          <w:color w:val="auto"/>
          <w:sz w:val="24"/>
          <w:highlight w:val="none"/>
        </w:rPr>
      </w:pPr>
    </w:p>
    <w:p w14:paraId="6AF2C4D5">
      <w:pPr>
        <w:pStyle w:val="2"/>
        <w:rPr>
          <w:rFonts w:ascii="宋体" w:hAnsi="宋体" w:cs="宋体"/>
          <w:b/>
          <w:color w:val="auto"/>
          <w:sz w:val="24"/>
          <w:highlight w:val="none"/>
        </w:rPr>
      </w:pPr>
    </w:p>
    <w:p w14:paraId="2F7A2C8C">
      <w:pPr>
        <w:rPr>
          <w:rFonts w:ascii="宋体" w:hAnsi="宋体" w:cs="宋体"/>
          <w:b/>
          <w:color w:val="auto"/>
          <w:sz w:val="24"/>
          <w:highlight w:val="none"/>
        </w:rPr>
      </w:pPr>
    </w:p>
    <w:p w14:paraId="32FC42E8">
      <w:pPr>
        <w:pStyle w:val="2"/>
        <w:rPr>
          <w:rFonts w:ascii="宋体" w:hAnsi="宋体" w:cs="宋体"/>
          <w:b/>
          <w:color w:val="auto"/>
          <w:sz w:val="24"/>
          <w:highlight w:val="none"/>
        </w:rPr>
      </w:pPr>
    </w:p>
    <w:p w14:paraId="60A76D9C">
      <w:pPr>
        <w:rPr>
          <w:rFonts w:ascii="宋体" w:hAnsi="宋体" w:cs="宋体"/>
          <w:b/>
          <w:color w:val="auto"/>
          <w:sz w:val="24"/>
          <w:highlight w:val="none"/>
        </w:rPr>
      </w:pPr>
    </w:p>
    <w:p w14:paraId="740C3D70">
      <w:pPr>
        <w:pStyle w:val="2"/>
        <w:rPr>
          <w:rFonts w:ascii="宋体" w:hAnsi="宋体" w:cs="宋体"/>
          <w:b/>
          <w:color w:val="auto"/>
          <w:sz w:val="24"/>
          <w:highlight w:val="none"/>
        </w:rPr>
      </w:pPr>
    </w:p>
    <w:p w14:paraId="4FB079C6">
      <w:pPr>
        <w:rPr>
          <w:rFonts w:ascii="宋体" w:hAnsi="宋体" w:cs="宋体"/>
          <w:b/>
          <w:color w:val="auto"/>
          <w:sz w:val="24"/>
          <w:highlight w:val="none"/>
        </w:rPr>
      </w:pPr>
    </w:p>
    <w:p w14:paraId="7257F9BC">
      <w:pPr>
        <w:pStyle w:val="2"/>
        <w:rPr>
          <w:rFonts w:ascii="宋体" w:hAnsi="宋体" w:cs="宋体"/>
          <w:b/>
          <w:color w:val="auto"/>
          <w:sz w:val="24"/>
          <w:highlight w:val="none"/>
        </w:rPr>
      </w:pPr>
    </w:p>
    <w:p w14:paraId="08A73746">
      <w:pPr>
        <w:rPr>
          <w:rFonts w:ascii="宋体" w:hAnsi="宋体" w:cs="宋体"/>
          <w:b/>
          <w:color w:val="auto"/>
          <w:sz w:val="24"/>
          <w:highlight w:val="none"/>
        </w:rPr>
      </w:pPr>
    </w:p>
    <w:p w14:paraId="2FBBA22C">
      <w:pPr>
        <w:pStyle w:val="2"/>
        <w:rPr>
          <w:rFonts w:ascii="宋体" w:hAnsi="宋体" w:cs="宋体"/>
          <w:b/>
          <w:color w:val="auto"/>
          <w:sz w:val="24"/>
          <w:highlight w:val="none"/>
        </w:rPr>
      </w:pPr>
    </w:p>
    <w:p w14:paraId="5F2C4887">
      <w:pPr>
        <w:rPr>
          <w:rFonts w:ascii="宋体" w:hAnsi="宋体" w:cs="宋体"/>
          <w:b/>
          <w:color w:val="auto"/>
          <w:sz w:val="24"/>
          <w:highlight w:val="none"/>
        </w:rPr>
      </w:pPr>
    </w:p>
    <w:p w14:paraId="7B21CD21">
      <w:pPr>
        <w:pStyle w:val="2"/>
        <w:rPr>
          <w:rFonts w:ascii="宋体" w:hAnsi="宋体" w:cs="宋体"/>
          <w:b/>
          <w:color w:val="auto"/>
          <w:sz w:val="24"/>
          <w:highlight w:val="none"/>
        </w:rPr>
      </w:pPr>
    </w:p>
    <w:p w14:paraId="18A368F3">
      <w:pPr>
        <w:rPr>
          <w:rFonts w:ascii="宋体" w:hAnsi="宋体" w:cs="宋体"/>
          <w:b/>
          <w:color w:val="auto"/>
          <w:sz w:val="24"/>
          <w:highlight w:val="none"/>
        </w:rPr>
      </w:pPr>
    </w:p>
    <w:p w14:paraId="20FA821F">
      <w:pPr>
        <w:pStyle w:val="2"/>
        <w:rPr>
          <w:rFonts w:ascii="宋体" w:hAnsi="宋体" w:cs="宋体"/>
          <w:b/>
          <w:color w:val="auto"/>
          <w:sz w:val="24"/>
          <w:highlight w:val="none"/>
        </w:rPr>
      </w:pPr>
    </w:p>
    <w:p w14:paraId="78718CD8">
      <w:pPr>
        <w:rPr>
          <w:rFonts w:ascii="宋体" w:hAnsi="宋体" w:cs="宋体"/>
          <w:b/>
          <w:color w:val="auto"/>
          <w:sz w:val="24"/>
          <w:highlight w:val="none"/>
        </w:rPr>
      </w:pPr>
    </w:p>
    <w:p w14:paraId="234B64AA">
      <w:pPr>
        <w:pStyle w:val="2"/>
        <w:rPr>
          <w:rFonts w:ascii="宋体" w:hAnsi="宋体" w:cs="宋体"/>
          <w:b/>
          <w:color w:val="auto"/>
          <w:sz w:val="24"/>
          <w:highlight w:val="none"/>
        </w:rPr>
      </w:pPr>
    </w:p>
    <w:p w14:paraId="4C0AD932">
      <w:pPr>
        <w:rPr>
          <w:rFonts w:ascii="宋体" w:hAnsi="宋体" w:cs="宋体"/>
          <w:b/>
          <w:color w:val="auto"/>
          <w:sz w:val="24"/>
          <w:highlight w:val="none"/>
        </w:rPr>
      </w:pPr>
    </w:p>
    <w:p w14:paraId="6F39EA29">
      <w:pPr>
        <w:pStyle w:val="2"/>
        <w:rPr>
          <w:rFonts w:ascii="宋体" w:hAnsi="宋体" w:cs="宋体"/>
          <w:b/>
          <w:color w:val="auto"/>
          <w:sz w:val="24"/>
          <w:highlight w:val="none"/>
        </w:rPr>
      </w:pPr>
    </w:p>
    <w:p w14:paraId="091BCB19">
      <w:pPr>
        <w:rPr>
          <w:rFonts w:ascii="宋体" w:hAnsi="宋体" w:cs="宋体"/>
          <w:b/>
          <w:color w:val="auto"/>
          <w:sz w:val="24"/>
          <w:highlight w:val="none"/>
        </w:rPr>
      </w:pPr>
    </w:p>
    <w:p w14:paraId="1E482E1C">
      <w:pPr>
        <w:pStyle w:val="2"/>
        <w:rPr>
          <w:rFonts w:ascii="宋体" w:hAnsi="宋体" w:cs="宋体"/>
          <w:b/>
          <w:color w:val="auto"/>
          <w:sz w:val="24"/>
          <w:highlight w:val="none"/>
        </w:rPr>
      </w:pPr>
    </w:p>
    <w:p w14:paraId="44E297E4">
      <w:pPr>
        <w:rPr>
          <w:rFonts w:ascii="宋体" w:hAnsi="宋体" w:cs="宋体"/>
          <w:b/>
          <w:color w:val="auto"/>
          <w:sz w:val="24"/>
          <w:highlight w:val="none"/>
        </w:rPr>
      </w:pPr>
    </w:p>
    <w:p w14:paraId="0C24627D">
      <w:pPr>
        <w:pStyle w:val="2"/>
        <w:rPr>
          <w:rFonts w:ascii="宋体" w:hAnsi="宋体" w:cs="宋体"/>
          <w:b/>
          <w:color w:val="auto"/>
          <w:sz w:val="24"/>
          <w:highlight w:val="none"/>
        </w:rPr>
      </w:pPr>
    </w:p>
    <w:p w14:paraId="1094B9C2">
      <w:pPr>
        <w:rPr>
          <w:rFonts w:ascii="宋体" w:hAnsi="宋体" w:cs="宋体"/>
          <w:b/>
          <w:color w:val="auto"/>
          <w:sz w:val="24"/>
          <w:highlight w:val="none"/>
        </w:rPr>
      </w:pPr>
    </w:p>
    <w:p w14:paraId="440C14BC">
      <w:pPr>
        <w:pStyle w:val="2"/>
        <w:rPr>
          <w:rFonts w:ascii="宋体" w:hAnsi="宋体" w:cs="宋体"/>
          <w:b/>
          <w:color w:val="auto"/>
          <w:sz w:val="24"/>
          <w:highlight w:val="none"/>
        </w:rPr>
      </w:pPr>
    </w:p>
    <w:p w14:paraId="461B9214">
      <w:pPr>
        <w:rPr>
          <w:rFonts w:ascii="宋体" w:hAnsi="宋体" w:cs="宋体"/>
          <w:b/>
          <w:color w:val="auto"/>
          <w:sz w:val="24"/>
          <w:highlight w:val="none"/>
        </w:rPr>
      </w:pPr>
    </w:p>
    <w:p w14:paraId="0CE4DE30">
      <w:pPr>
        <w:pStyle w:val="2"/>
        <w:rPr>
          <w:rFonts w:ascii="宋体" w:hAnsi="宋体" w:cs="宋体"/>
          <w:b/>
          <w:color w:val="auto"/>
          <w:sz w:val="24"/>
          <w:highlight w:val="none"/>
        </w:rPr>
      </w:pPr>
    </w:p>
    <w:p w14:paraId="21F82789">
      <w:pPr>
        <w:rPr>
          <w:rFonts w:ascii="宋体" w:hAnsi="宋体" w:cs="宋体"/>
          <w:b/>
          <w:color w:val="auto"/>
          <w:sz w:val="24"/>
          <w:highlight w:val="none"/>
        </w:rPr>
      </w:pPr>
    </w:p>
    <w:p w14:paraId="79F6EC47">
      <w:pPr>
        <w:pStyle w:val="2"/>
        <w:rPr>
          <w:rFonts w:ascii="宋体" w:hAnsi="宋体" w:cs="宋体"/>
          <w:b/>
          <w:color w:val="auto"/>
          <w:sz w:val="24"/>
          <w:highlight w:val="none"/>
        </w:rPr>
      </w:pPr>
    </w:p>
    <w:p w14:paraId="2CBE7394">
      <w:pPr>
        <w:rPr>
          <w:color w:val="auto"/>
          <w:highlight w:val="none"/>
        </w:rPr>
      </w:pPr>
    </w:p>
    <w:p w14:paraId="0190BC91">
      <w:pPr>
        <w:keepNext w:val="0"/>
        <w:keepLines w:val="0"/>
        <w:pageBreakBefore w:val="0"/>
        <w:widowControl w:val="0"/>
        <w:kinsoku/>
        <w:wordWrap/>
        <w:overflowPunct/>
        <w:topLinePunct w:val="0"/>
        <w:bidi w:val="0"/>
        <w:spacing w:line="400" w:lineRule="exact"/>
        <w:jc w:val="center"/>
        <w:textAlignment w:val="auto"/>
        <w:rPr>
          <w:rFonts w:ascii="宋体" w:hAnsi="宋体" w:cs="宋体"/>
          <w:color w:val="auto"/>
          <w:kern w:val="0"/>
          <w:szCs w:val="21"/>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采购邀请书</w:t>
      </w:r>
    </w:p>
    <w:p w14:paraId="77AA6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1、项目概况</w:t>
      </w:r>
    </w:p>
    <w:p w14:paraId="080CA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项目名称： 株洲北斗应用与信息技术产业示范基地配套基础设施项目（一期）</w:t>
      </w:r>
      <w:r>
        <w:rPr>
          <w:rFonts w:hint="eastAsia" w:ascii="宋体" w:hAnsi="宋体" w:cs="宋体"/>
          <w:color w:val="auto"/>
          <w:kern w:val="2"/>
          <w:sz w:val="21"/>
          <w:szCs w:val="21"/>
          <w:highlight w:val="none"/>
          <w:lang w:val="en-US" w:eastAsia="zh-CN" w:bidi="ar"/>
        </w:rPr>
        <w:t>厂房钢结构</w:t>
      </w:r>
      <w:r>
        <w:rPr>
          <w:rFonts w:hint="eastAsia" w:ascii="宋体" w:hAnsi="宋体" w:eastAsia="宋体" w:cs="宋体"/>
          <w:color w:val="auto"/>
          <w:kern w:val="2"/>
          <w:sz w:val="21"/>
          <w:szCs w:val="21"/>
          <w:highlight w:val="none"/>
          <w:lang w:val="en-US" w:eastAsia="zh-CN" w:bidi="ar"/>
        </w:rPr>
        <w:t>材料采购。</w:t>
      </w:r>
    </w:p>
    <w:p w14:paraId="6E876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 项目内容： 为本项目</w:t>
      </w:r>
      <w:r>
        <w:rPr>
          <w:rFonts w:hint="eastAsia" w:ascii="宋体" w:hAnsi="宋体" w:cs="宋体"/>
          <w:color w:val="auto"/>
          <w:kern w:val="2"/>
          <w:sz w:val="21"/>
          <w:szCs w:val="21"/>
          <w:highlight w:val="none"/>
          <w:lang w:val="en-US" w:eastAsia="zh-CN" w:bidi="ar"/>
        </w:rPr>
        <w:t>101厂房</w:t>
      </w:r>
      <w:r>
        <w:rPr>
          <w:rFonts w:hint="eastAsia" w:ascii="宋体" w:hAnsi="宋体" w:eastAsia="宋体" w:cs="宋体"/>
          <w:color w:val="auto"/>
          <w:kern w:val="2"/>
          <w:sz w:val="21"/>
          <w:szCs w:val="21"/>
          <w:highlight w:val="none"/>
          <w:lang w:val="en-US" w:eastAsia="zh-CN" w:bidi="ar"/>
        </w:rPr>
        <w:t>提供所需的全部</w:t>
      </w:r>
      <w:r>
        <w:rPr>
          <w:rFonts w:hint="eastAsia" w:ascii="宋体" w:hAnsi="宋体" w:cs="宋体"/>
          <w:color w:val="auto"/>
          <w:kern w:val="2"/>
          <w:sz w:val="21"/>
          <w:szCs w:val="21"/>
          <w:highlight w:val="none"/>
          <w:lang w:val="en-US" w:eastAsia="zh-CN" w:bidi="ar"/>
        </w:rPr>
        <w:t>钢结构</w:t>
      </w:r>
      <w:r>
        <w:rPr>
          <w:rFonts w:hint="eastAsia" w:ascii="宋体" w:hAnsi="宋体" w:eastAsia="宋体" w:cs="宋体"/>
          <w:color w:val="auto"/>
          <w:kern w:val="2"/>
          <w:sz w:val="21"/>
          <w:szCs w:val="21"/>
          <w:highlight w:val="none"/>
          <w:lang w:val="en-US" w:eastAsia="zh-CN" w:bidi="ar"/>
        </w:rPr>
        <w:t>材料，具体详见第四章“采购需求”。</w:t>
      </w:r>
    </w:p>
    <w:p w14:paraId="2077E0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1.3</w:t>
      </w:r>
      <w:r>
        <w:rPr>
          <w:rFonts w:hint="eastAsia" w:ascii="宋体" w:hAnsi="宋体" w:cs="宋体"/>
          <w:b/>
          <w:bCs/>
          <w:color w:val="FF0000"/>
          <w:kern w:val="2"/>
          <w:sz w:val="21"/>
          <w:szCs w:val="21"/>
          <w:highlight w:val="none"/>
          <w:lang w:val="en-US" w:eastAsia="zh-CN" w:bidi="ar"/>
        </w:rPr>
        <w:t>采购预算：8124446.6元</w:t>
      </w:r>
      <w:r>
        <w:rPr>
          <w:rFonts w:hint="eastAsia" w:ascii="宋体" w:hAnsi="宋体" w:cs="宋体"/>
          <w:color w:val="auto"/>
          <w:kern w:val="2"/>
          <w:sz w:val="21"/>
          <w:szCs w:val="21"/>
          <w:highlight w:val="none"/>
          <w:lang w:val="en-US" w:eastAsia="zh-CN" w:bidi="ar"/>
        </w:rPr>
        <w:t>。</w:t>
      </w:r>
    </w:p>
    <w:p w14:paraId="6DD136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2、供应商资格要求</w:t>
      </w:r>
    </w:p>
    <w:p w14:paraId="7338F2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 具有独立承担民事责任的能力，并依法取得有效的营业执照；</w:t>
      </w:r>
    </w:p>
    <w:p w14:paraId="03688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具有履行合同所必需的设备和专业技术能力，具备稳定的货源供应能力及物流配送能力；</w:t>
      </w:r>
    </w:p>
    <w:p w14:paraId="5F0CBB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 对列入失信被执行人、重大税收违法案件当事人名单的供应商，将被拒绝其参与本采购活动；</w:t>
      </w:r>
    </w:p>
    <w:p w14:paraId="3A3715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品牌准入限制（关键条款）： 本次采购仅限以下三个品牌的钢</w:t>
      </w:r>
      <w:r>
        <w:rPr>
          <w:rFonts w:hint="eastAsia" w:ascii="宋体" w:hAnsi="宋体" w:cs="宋体"/>
          <w:color w:val="auto"/>
          <w:kern w:val="2"/>
          <w:sz w:val="21"/>
          <w:szCs w:val="21"/>
          <w:highlight w:val="none"/>
          <w:lang w:val="en-US" w:eastAsia="zh-CN" w:bidi="ar"/>
        </w:rPr>
        <w:t>结构</w:t>
      </w:r>
      <w:r>
        <w:rPr>
          <w:rFonts w:hint="eastAsia" w:ascii="宋体" w:hAnsi="宋体" w:eastAsia="宋体" w:cs="宋体"/>
          <w:color w:val="auto"/>
          <w:kern w:val="2"/>
          <w:sz w:val="21"/>
          <w:szCs w:val="21"/>
          <w:highlight w:val="none"/>
          <w:lang w:val="en-US" w:eastAsia="zh-CN" w:bidi="ar"/>
        </w:rPr>
        <w:t>产品，供应商所投产品必须属于以下品牌之一，否则视为无效响应：</w:t>
      </w:r>
    </w:p>
    <w:p w14:paraId="1DACE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宋体" w:hAnsi="宋体" w:eastAsia="宋体" w:cs="宋体"/>
          <w:b/>
          <w:bCs/>
          <w:color w:val="FF0000"/>
          <w:kern w:val="2"/>
          <w:sz w:val="21"/>
          <w:szCs w:val="21"/>
          <w:highlight w:val="none"/>
        </w:rPr>
      </w:pPr>
      <w:r>
        <w:rPr>
          <w:rFonts w:hint="eastAsia" w:ascii="宋体" w:hAnsi="宋体" w:eastAsia="宋体" w:cs="宋体"/>
          <w:b/>
          <w:bCs/>
          <w:color w:val="FF0000"/>
          <w:kern w:val="2"/>
          <w:sz w:val="21"/>
          <w:szCs w:val="21"/>
          <w:highlight w:val="none"/>
          <w:lang w:val="en-US" w:eastAsia="zh-CN" w:bidi="ar"/>
        </w:rPr>
        <w:t>湘潭钢铁集团有限公司（湘钢）</w:t>
      </w:r>
    </w:p>
    <w:p w14:paraId="1B01E3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宋体" w:hAnsi="宋体" w:eastAsia="宋体" w:cs="宋体"/>
          <w:b/>
          <w:bCs/>
          <w:color w:val="FF0000"/>
          <w:kern w:val="2"/>
          <w:sz w:val="21"/>
          <w:szCs w:val="21"/>
          <w:highlight w:val="none"/>
        </w:rPr>
      </w:pPr>
      <w:r>
        <w:rPr>
          <w:rFonts w:hint="eastAsia" w:ascii="宋体" w:hAnsi="宋体" w:eastAsia="宋体" w:cs="宋体"/>
          <w:b/>
          <w:bCs/>
          <w:color w:val="FF0000"/>
          <w:kern w:val="2"/>
          <w:sz w:val="21"/>
          <w:szCs w:val="21"/>
          <w:highlight w:val="none"/>
          <w:lang w:val="en-US" w:eastAsia="zh-CN" w:bidi="ar"/>
        </w:rPr>
        <w:t>萍乡萍钢安源钢铁有限公司（萍钢）</w:t>
      </w:r>
    </w:p>
    <w:p w14:paraId="43FA9A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宋体" w:hAnsi="宋体" w:eastAsia="宋体" w:cs="宋体"/>
          <w:b/>
          <w:bCs/>
          <w:color w:val="FF0000"/>
          <w:kern w:val="2"/>
          <w:sz w:val="21"/>
          <w:szCs w:val="21"/>
          <w:highlight w:val="none"/>
        </w:rPr>
      </w:pPr>
      <w:r>
        <w:rPr>
          <w:rFonts w:hint="eastAsia" w:ascii="宋体" w:hAnsi="宋体" w:eastAsia="宋体" w:cs="宋体"/>
          <w:b/>
          <w:bCs/>
          <w:color w:val="FF0000"/>
          <w:kern w:val="2"/>
          <w:sz w:val="21"/>
          <w:szCs w:val="21"/>
          <w:highlight w:val="none"/>
          <w:lang w:val="en-US" w:eastAsia="zh-CN" w:bidi="ar"/>
        </w:rPr>
        <w:t>湖南华菱涟源钢铁有限公司（涟钢）</w:t>
      </w:r>
    </w:p>
    <w:p w14:paraId="06638B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2" w:firstLineChars="200"/>
        <w:jc w:val="both"/>
        <w:textAlignment w:val="auto"/>
        <w:rPr>
          <w:rFonts w:hint="eastAsia" w:ascii="宋体" w:hAnsi="宋体" w:eastAsia="宋体" w:cs="宋体"/>
          <w:b/>
          <w:bCs/>
          <w:color w:val="FF0000"/>
          <w:kern w:val="2"/>
          <w:sz w:val="21"/>
          <w:szCs w:val="21"/>
          <w:highlight w:val="none"/>
        </w:rPr>
      </w:pPr>
      <w:r>
        <w:rPr>
          <w:rFonts w:hint="eastAsia" w:ascii="宋体" w:hAnsi="宋体" w:eastAsia="宋体" w:cs="宋体"/>
          <w:b/>
          <w:bCs/>
          <w:color w:val="FF0000"/>
          <w:kern w:val="2"/>
          <w:sz w:val="21"/>
          <w:szCs w:val="21"/>
          <w:highlight w:val="none"/>
          <w:lang w:val="en-US" w:eastAsia="zh-CN" w:bidi="ar"/>
        </w:rPr>
        <w:t>(注：若供应商为代理商，需提供针对本项目的厂家授权书或长期代理证明)</w:t>
      </w:r>
    </w:p>
    <w:p w14:paraId="1287A6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3、获取采购文件的方式及地点</w:t>
      </w:r>
    </w:p>
    <w:p w14:paraId="6BF429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3.1获取采购文件时间：获取采购文件的时间：从2026年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 xml:space="preserve">日起至2026年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日止，每天上午8:30至12:00，下午14:30至17：30（北京时间，周六、周日正常上班）</w:t>
      </w:r>
    </w:p>
    <w:p w14:paraId="46292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获取方式：指定获取。</w:t>
      </w:r>
    </w:p>
    <w:p w14:paraId="603D2B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获取地点/网址：株洲市云龙发展集团城市建设有限公司数字化招采平台http://www.yfjszc.com。</w:t>
      </w:r>
    </w:p>
    <w:p w14:paraId="203583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4、响应文件递交</w:t>
      </w:r>
    </w:p>
    <w:p w14:paraId="08016C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4.1 截止时间： 2026 年 </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 月</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 xml:space="preserve">日 </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 时 </w:t>
      </w:r>
      <w:r>
        <w:rPr>
          <w:rFonts w:hint="eastAsia" w:ascii="宋体" w:hAnsi="宋体" w:cs="宋体"/>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 xml:space="preserve"> 分。</w:t>
      </w:r>
    </w:p>
    <w:p w14:paraId="041150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 递交方式：时间：2026 年</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 xml:space="preserve">日 </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时 </w:t>
      </w:r>
      <w:r>
        <w:rPr>
          <w:rFonts w:hint="eastAsia" w:ascii="宋体" w:hAnsi="宋体" w:cs="宋体"/>
          <w:color w:val="auto"/>
          <w:kern w:val="2"/>
          <w:sz w:val="21"/>
          <w:szCs w:val="21"/>
          <w:highlight w:val="none"/>
          <w:lang w:val="en-US" w:eastAsia="zh-CN" w:bidi="ar"/>
        </w:rPr>
        <w:t>00</w:t>
      </w:r>
      <w:r>
        <w:rPr>
          <w:rFonts w:hint="eastAsia" w:ascii="宋体" w:hAnsi="宋体" w:eastAsia="宋体" w:cs="宋体"/>
          <w:color w:val="auto"/>
          <w:kern w:val="2"/>
          <w:sz w:val="21"/>
          <w:szCs w:val="21"/>
          <w:highlight w:val="none"/>
          <w:lang w:val="en-US" w:eastAsia="zh-CN" w:bidi="ar"/>
        </w:rPr>
        <w:t>分，地点：株洲市石峰区云龙大道88号管委会727室）。</w:t>
      </w:r>
    </w:p>
    <w:p w14:paraId="32D81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5、联系方式</w:t>
      </w:r>
    </w:p>
    <w:p w14:paraId="29DBA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 购 人：株洲市云龙发展集团城市建设有限公司</w:t>
      </w:r>
    </w:p>
    <w:p w14:paraId="33BD5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 址： </w:t>
      </w:r>
      <w:r>
        <w:rPr>
          <w:rFonts w:hint="eastAsia" w:ascii="宋体" w:hAnsi="宋体" w:eastAsia="宋体" w:cs="宋体"/>
          <w:color w:val="auto"/>
          <w:sz w:val="21"/>
          <w:szCs w:val="21"/>
          <w:highlight w:val="none"/>
        </w:rPr>
        <w:t>株洲云龙示范区云龙大道88号</w:t>
      </w:r>
    </w:p>
    <w:p w14:paraId="67A5B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联 系 人：</w:t>
      </w:r>
      <w:r>
        <w:rPr>
          <w:rFonts w:hint="eastAsia" w:ascii="宋体" w:hAnsi="宋体" w:eastAsia="宋体" w:cs="宋体"/>
          <w:color w:val="auto"/>
          <w:sz w:val="21"/>
          <w:szCs w:val="21"/>
          <w:highlight w:val="none"/>
          <w:lang w:val="en-US" w:eastAsia="zh-CN"/>
        </w:rPr>
        <w:t>丑文沛</w:t>
      </w:r>
    </w:p>
    <w:p w14:paraId="14A9E3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sz w:val="21"/>
          <w:szCs w:val="21"/>
          <w:highlight w:val="none"/>
          <w:lang w:val="en-US" w:eastAsia="zh-CN"/>
        </w:rPr>
        <w:t>0731-28689975</w:t>
      </w:r>
    </w:p>
    <w:p w14:paraId="15EAC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color w:val="auto"/>
          <w:sz w:val="28"/>
          <w:szCs w:val="28"/>
          <w:highlight w:val="none"/>
          <w:lang w:val="en-US" w:eastAsia="zh-CN"/>
        </w:rPr>
      </w:pPr>
    </w:p>
    <w:p w14:paraId="2441DA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4D13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BE895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C7C4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5A9DD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1850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94EF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BE648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3F454E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E0942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46E53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680C1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02861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585CC5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color w:val="auto"/>
          <w:szCs w:val="22"/>
          <w:highlight w:val="none"/>
          <w:lang w:val="en-US" w:eastAsia="zh-CN"/>
        </w:rPr>
      </w:pPr>
    </w:p>
    <w:p w14:paraId="161840EA">
      <w:pPr>
        <w:pStyle w:val="2"/>
        <w:rPr>
          <w:rFonts w:hint="eastAsia" w:ascii="宋体" w:hAnsi="宋体"/>
          <w:color w:val="auto"/>
          <w:szCs w:val="22"/>
          <w:highlight w:val="none"/>
          <w:lang w:val="en-US" w:eastAsia="zh-CN"/>
        </w:rPr>
      </w:pPr>
    </w:p>
    <w:p w14:paraId="290B73C3">
      <w:pPr>
        <w:rPr>
          <w:rFonts w:hint="eastAsia" w:ascii="宋体" w:hAnsi="宋体"/>
          <w:color w:val="auto"/>
          <w:szCs w:val="22"/>
          <w:highlight w:val="none"/>
          <w:lang w:val="en-US" w:eastAsia="zh-CN"/>
        </w:rPr>
      </w:pPr>
    </w:p>
    <w:p w14:paraId="2630A92F">
      <w:pPr>
        <w:pStyle w:val="2"/>
        <w:rPr>
          <w:rFonts w:hint="eastAsia"/>
          <w:lang w:val="en-US" w:eastAsia="zh-CN"/>
        </w:rPr>
      </w:pPr>
    </w:p>
    <w:p w14:paraId="7B35FB31">
      <w:pPr>
        <w:numPr>
          <w:ilvl w:val="0"/>
          <w:numId w:val="2"/>
        </w:num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w:t>
      </w:r>
      <w:r>
        <w:rPr>
          <w:rFonts w:hint="eastAsia" w:ascii="宋体" w:hAnsi="宋体" w:cs="宋体"/>
          <w:b/>
          <w:bCs/>
          <w:color w:val="auto"/>
          <w:sz w:val="32"/>
          <w:szCs w:val="32"/>
          <w:highlight w:val="none"/>
        </w:rPr>
        <w:t>须知</w:t>
      </w:r>
    </w:p>
    <w:p w14:paraId="58939915">
      <w:pPr>
        <w:pStyle w:val="2"/>
        <w:ind w:left="0" w:leftChars="0"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竞谈</w:t>
      </w:r>
      <w:r>
        <w:rPr>
          <w:rFonts w:hint="eastAsia" w:ascii="宋体" w:hAnsi="宋体" w:cs="宋体"/>
          <w:b/>
          <w:bCs/>
          <w:color w:val="auto"/>
          <w:sz w:val="32"/>
          <w:szCs w:val="32"/>
          <w:highlight w:val="none"/>
          <w:lang w:eastAsia="zh-CN"/>
        </w:rPr>
        <w:t>采购</w:t>
      </w:r>
      <w:r>
        <w:rPr>
          <w:rFonts w:hint="eastAsia" w:ascii="宋体" w:hAnsi="宋体" w:cs="宋体"/>
          <w:b/>
          <w:bCs/>
          <w:color w:val="auto"/>
          <w:sz w:val="32"/>
          <w:szCs w:val="32"/>
          <w:highlight w:val="none"/>
        </w:rPr>
        <w:t>须知前附表</w:t>
      </w:r>
    </w:p>
    <w:tbl>
      <w:tblPr>
        <w:tblStyle w:val="19"/>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0"/>
        <w:gridCol w:w="5898"/>
      </w:tblGrid>
      <w:tr w14:paraId="416D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2B61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980" w:type="dxa"/>
            <w:tcBorders>
              <w:tl2br w:val="nil"/>
              <w:tr2bl w:val="nil"/>
            </w:tcBorders>
            <w:vAlign w:val="center"/>
          </w:tcPr>
          <w:p w14:paraId="7AB60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条款名称</w:t>
            </w:r>
          </w:p>
        </w:tc>
        <w:tc>
          <w:tcPr>
            <w:tcW w:w="5898" w:type="dxa"/>
            <w:tcBorders>
              <w:tl2br w:val="nil"/>
              <w:tr2bl w:val="nil"/>
            </w:tcBorders>
            <w:vAlign w:val="center"/>
          </w:tcPr>
          <w:p w14:paraId="368DA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编列内容规定</w:t>
            </w:r>
          </w:p>
        </w:tc>
      </w:tr>
      <w:tr w14:paraId="65E57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411698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一、说明</w:t>
            </w:r>
          </w:p>
        </w:tc>
      </w:tr>
      <w:tr w14:paraId="377DC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12996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980" w:type="dxa"/>
            <w:tcBorders>
              <w:tl2br w:val="nil"/>
              <w:tr2bl w:val="nil"/>
            </w:tcBorders>
            <w:vAlign w:val="center"/>
          </w:tcPr>
          <w:p w14:paraId="31E8F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采购项目</w:t>
            </w:r>
          </w:p>
        </w:tc>
        <w:tc>
          <w:tcPr>
            <w:tcW w:w="5898" w:type="dxa"/>
            <w:tcBorders>
              <w:tl2br w:val="nil"/>
              <w:tr2bl w:val="nil"/>
            </w:tcBorders>
            <w:vAlign w:val="center"/>
          </w:tcPr>
          <w:p w14:paraId="5F1706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株洲北斗应用与信息技术产业示范基地配套基础设施项目（一期）</w:t>
            </w:r>
            <w:r>
              <w:rPr>
                <w:rFonts w:hint="eastAsia" w:ascii="宋体" w:hAnsi="宋体" w:cs="宋体"/>
                <w:color w:val="auto"/>
                <w:szCs w:val="21"/>
                <w:highlight w:val="none"/>
                <w:lang w:val="en-US" w:eastAsia="zh-CN"/>
              </w:rPr>
              <w:t>厂房钢结构</w:t>
            </w:r>
            <w:r>
              <w:rPr>
                <w:rFonts w:hint="eastAsia" w:ascii="宋体" w:hAnsi="宋体" w:eastAsia="宋体" w:cs="宋体"/>
                <w:color w:val="auto"/>
                <w:szCs w:val="21"/>
                <w:highlight w:val="none"/>
                <w:lang w:val="en-US" w:eastAsia="zh-CN"/>
              </w:rPr>
              <w:t>材料采购</w:t>
            </w:r>
          </w:p>
        </w:tc>
      </w:tr>
      <w:tr w14:paraId="1B611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41C7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980" w:type="dxa"/>
            <w:tcBorders>
              <w:tl2br w:val="nil"/>
              <w:tr2bl w:val="nil"/>
            </w:tcBorders>
            <w:vAlign w:val="center"/>
          </w:tcPr>
          <w:p w14:paraId="7B2A94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采购人</w:t>
            </w:r>
          </w:p>
        </w:tc>
        <w:tc>
          <w:tcPr>
            <w:tcW w:w="5898" w:type="dxa"/>
            <w:tcBorders>
              <w:tl2br w:val="nil"/>
              <w:tr2bl w:val="nil"/>
            </w:tcBorders>
            <w:vAlign w:val="center"/>
          </w:tcPr>
          <w:p w14:paraId="366FFA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采 购 人：株洲市云龙发展集团城市建设有限公司</w:t>
            </w:r>
          </w:p>
          <w:p w14:paraId="49148D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地    址：株洲云龙示范区云龙大道88号</w:t>
            </w:r>
          </w:p>
          <w:p w14:paraId="47E4049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r>
              <w:rPr>
                <w:rFonts w:hint="eastAsia"/>
                <w:color w:val="auto"/>
                <w:highlight w:val="none"/>
              </w:rPr>
              <w:t>联 系 人：</w:t>
            </w:r>
            <w:r>
              <w:rPr>
                <w:rFonts w:hint="eastAsia" w:ascii="宋体" w:hAnsi="宋体"/>
                <w:color w:val="auto"/>
                <w:szCs w:val="22"/>
                <w:highlight w:val="none"/>
                <w:lang w:eastAsia="zh-CN"/>
              </w:rPr>
              <w:t>丑文沛</w:t>
            </w:r>
            <w:r>
              <w:rPr>
                <w:rFonts w:hint="eastAsia"/>
                <w:color w:val="auto"/>
                <w:highlight w:val="none"/>
              </w:rPr>
              <w:t xml:space="preserve"> </w:t>
            </w:r>
          </w:p>
          <w:p w14:paraId="4EB62D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color w:val="auto"/>
                <w:highlight w:val="none"/>
              </w:rPr>
              <w:t>电    话：</w:t>
            </w:r>
            <w:r>
              <w:rPr>
                <w:rFonts w:hint="eastAsia" w:ascii="宋体" w:hAnsi="宋体"/>
                <w:color w:val="auto"/>
                <w:szCs w:val="22"/>
                <w:highlight w:val="none"/>
                <w:lang w:eastAsia="zh-CN"/>
              </w:rPr>
              <w:t>0731-28689974</w:t>
            </w:r>
            <w:r>
              <w:rPr>
                <w:rFonts w:hint="eastAsia" w:ascii="宋体" w:hAnsi="宋体"/>
                <w:color w:val="auto"/>
                <w:szCs w:val="22"/>
                <w:highlight w:val="none"/>
              </w:rPr>
              <w:t xml:space="preserve"> </w:t>
            </w:r>
            <w:r>
              <w:rPr>
                <w:rFonts w:hint="eastAsia"/>
                <w:color w:val="auto"/>
                <w:highlight w:val="none"/>
              </w:rPr>
              <w:t xml:space="preserve"> </w:t>
            </w:r>
          </w:p>
        </w:tc>
      </w:tr>
      <w:tr w14:paraId="7EDAF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2" w:type="dxa"/>
            <w:tcBorders>
              <w:tl2br w:val="nil"/>
              <w:tr2bl w:val="nil"/>
            </w:tcBorders>
            <w:vAlign w:val="center"/>
          </w:tcPr>
          <w:p w14:paraId="19E72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980" w:type="dxa"/>
            <w:tcBorders>
              <w:tl2br w:val="nil"/>
              <w:tr2bl w:val="nil"/>
            </w:tcBorders>
            <w:vAlign w:val="center"/>
          </w:tcPr>
          <w:p w14:paraId="2FA7E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lang w:eastAsia="zh-CN"/>
              </w:rPr>
            </w:pPr>
            <w:r>
              <w:rPr>
                <w:rFonts w:hint="eastAsia"/>
                <w:color w:val="auto"/>
                <w:highlight w:val="none"/>
              </w:rPr>
              <w:t>供应商</w:t>
            </w:r>
            <w:r>
              <w:rPr>
                <w:rFonts w:hint="eastAsia"/>
                <w:color w:val="auto"/>
                <w:highlight w:val="none"/>
                <w:lang w:eastAsia="zh-CN"/>
              </w:rPr>
              <w:t>的</w:t>
            </w:r>
            <w:r>
              <w:rPr>
                <w:rFonts w:hint="eastAsia"/>
                <w:color w:val="auto"/>
                <w:highlight w:val="none"/>
              </w:rPr>
              <w:t>邀请方式</w:t>
            </w:r>
          </w:p>
        </w:tc>
        <w:tc>
          <w:tcPr>
            <w:tcW w:w="5898" w:type="dxa"/>
            <w:tcBorders>
              <w:tl2br w:val="nil"/>
              <w:tr2bl w:val="nil"/>
            </w:tcBorders>
            <w:vAlign w:val="center"/>
          </w:tcPr>
          <w:p w14:paraId="505E02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邀请</w:t>
            </w:r>
          </w:p>
        </w:tc>
      </w:tr>
      <w:tr w14:paraId="0DD05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1726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980" w:type="dxa"/>
            <w:tcBorders>
              <w:tl2br w:val="nil"/>
              <w:tr2bl w:val="nil"/>
            </w:tcBorders>
            <w:vAlign w:val="center"/>
          </w:tcPr>
          <w:p w14:paraId="64E41E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highlight w:val="none"/>
              </w:rPr>
            </w:pPr>
            <w:r>
              <w:rPr>
                <w:rFonts w:hint="eastAsia"/>
                <w:color w:val="auto"/>
                <w:highlight w:val="none"/>
              </w:rPr>
              <w:t>供应商资格条件</w:t>
            </w:r>
          </w:p>
        </w:tc>
        <w:tc>
          <w:tcPr>
            <w:tcW w:w="5898" w:type="dxa"/>
            <w:tcBorders>
              <w:tl2br w:val="nil"/>
              <w:tr2bl w:val="nil"/>
            </w:tcBorders>
            <w:vAlign w:val="center"/>
          </w:tcPr>
          <w:p w14:paraId="5D6597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lang w:eastAsia="zh-CN"/>
              </w:rPr>
            </w:pPr>
            <w:r>
              <w:rPr>
                <w:rFonts w:hint="eastAsia"/>
                <w:color w:val="auto"/>
                <w:highlight w:val="none"/>
              </w:rPr>
              <w:t>（1）具有</w:t>
            </w:r>
            <w:r>
              <w:rPr>
                <w:rFonts w:hint="eastAsia"/>
                <w:color w:val="auto"/>
                <w:highlight w:val="none"/>
                <w:lang w:eastAsia="zh-CN"/>
              </w:rPr>
              <w:t>独立承担民事责任的能力</w:t>
            </w:r>
            <w:r>
              <w:rPr>
                <w:rFonts w:hint="eastAsia"/>
                <w:color w:val="auto"/>
                <w:highlight w:val="none"/>
              </w:rPr>
              <w:t>，</w:t>
            </w:r>
            <w:r>
              <w:rPr>
                <w:rFonts w:hint="eastAsia" w:ascii="Times New Roman" w:hAnsi="Times New Roman" w:eastAsia="宋体" w:cs="Times New Roman"/>
                <w:color w:val="auto"/>
                <w:highlight w:val="none"/>
                <w:lang w:eastAsia="zh-CN"/>
              </w:rPr>
              <w:t>并依法取得有效的营业执照；（2）</w:t>
            </w:r>
            <w:r>
              <w:rPr>
                <w:rFonts w:hint="eastAsia" w:ascii="Times New Roman" w:hAnsi="Times New Roman" w:eastAsia="宋体" w:cs="Times New Roman"/>
                <w:color w:val="auto"/>
                <w:highlight w:val="none"/>
                <w:lang w:val="en-US" w:eastAsia="zh-CN"/>
              </w:rPr>
              <w:t>具有履行合同所必需的设备和专业技术能力，具备稳定的货源供应能力及物流配送能力；（3）对列入失信被执行人、重大税收违法案件当事人名单的供应商，将被拒绝其参与本采购活动；（4）必须提供湘钢、萍钢、涟钢三大品牌之一的产品证明。</w:t>
            </w:r>
          </w:p>
        </w:tc>
      </w:tr>
      <w:tr w14:paraId="2E827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02A54B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二、采购文件</w:t>
            </w:r>
          </w:p>
        </w:tc>
      </w:tr>
      <w:tr w14:paraId="78BED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2C23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980" w:type="dxa"/>
            <w:tcBorders>
              <w:tl2br w:val="nil"/>
              <w:tr2bl w:val="nil"/>
            </w:tcBorders>
            <w:vAlign w:val="center"/>
          </w:tcPr>
          <w:p w14:paraId="3E7700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rPr>
              <w:t>提交响应文件的截止时间</w:t>
            </w:r>
          </w:p>
        </w:tc>
        <w:tc>
          <w:tcPr>
            <w:tcW w:w="5898" w:type="dxa"/>
            <w:tcBorders>
              <w:tl2br w:val="nil"/>
              <w:tr2bl w:val="nil"/>
            </w:tcBorders>
            <w:vAlign w:val="center"/>
          </w:tcPr>
          <w:p w14:paraId="7AE3EA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13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 (北京时间)</w:t>
            </w:r>
          </w:p>
        </w:tc>
      </w:tr>
      <w:tr w14:paraId="65D7E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20" w:type="dxa"/>
            <w:gridSpan w:val="3"/>
            <w:tcBorders>
              <w:tl2br w:val="nil"/>
              <w:tr2bl w:val="nil"/>
            </w:tcBorders>
            <w:vAlign w:val="center"/>
          </w:tcPr>
          <w:p w14:paraId="01564C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b/>
                <w:color w:val="auto"/>
                <w:szCs w:val="21"/>
                <w:highlight w:val="none"/>
              </w:rPr>
              <w:t>三、响应文件的编写</w:t>
            </w:r>
          </w:p>
        </w:tc>
      </w:tr>
      <w:tr w14:paraId="525B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5EB54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980" w:type="dxa"/>
            <w:tcBorders>
              <w:tl2br w:val="nil"/>
              <w:tr2bl w:val="nil"/>
            </w:tcBorders>
            <w:vAlign w:val="center"/>
          </w:tcPr>
          <w:p w14:paraId="5FF66A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Cs w:val="21"/>
                <w:highlight w:val="none"/>
                <w:lang w:val="en-US"/>
              </w:rPr>
            </w:pPr>
            <w:r>
              <w:rPr>
                <w:rFonts w:hint="eastAsia" w:ascii="Segoe UI" w:hAnsi="Segoe UI" w:eastAsia="Segoe UI" w:cs="Segoe UI"/>
                <w:i w:val="0"/>
                <w:iCs w:val="0"/>
                <w:caps w:val="0"/>
                <w:color w:val="auto"/>
                <w:spacing w:val="0"/>
                <w:sz w:val="21"/>
                <w:szCs w:val="21"/>
                <w:highlight w:val="none"/>
                <w:shd w:val="clear" w:fill="FFFFFF"/>
                <w:lang w:val="en-US" w:eastAsia="zh-CN"/>
              </w:rPr>
              <w:t>采购项目预算</w:t>
            </w:r>
          </w:p>
        </w:tc>
        <w:tc>
          <w:tcPr>
            <w:tcW w:w="5898" w:type="dxa"/>
            <w:tcBorders>
              <w:tl2br w:val="nil"/>
              <w:tr2bl w:val="nil"/>
            </w:tcBorders>
            <w:vAlign w:val="center"/>
          </w:tcPr>
          <w:p w14:paraId="067797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8124446.6</w:t>
            </w:r>
            <w:r>
              <w:rPr>
                <w:rFonts w:hint="eastAsia" w:ascii="Times New Roman" w:hAnsi="Times New Roman" w:eastAsia="宋体" w:cs="Times New Roman"/>
                <w:color w:val="auto"/>
                <w:highlight w:val="none"/>
                <w:lang w:val="en-US" w:eastAsia="zh-CN"/>
              </w:rPr>
              <w:t>元</w:t>
            </w:r>
          </w:p>
        </w:tc>
      </w:tr>
      <w:tr w14:paraId="0977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4AF0F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980" w:type="dxa"/>
            <w:tcBorders>
              <w:tl2br w:val="nil"/>
              <w:tr2bl w:val="nil"/>
            </w:tcBorders>
            <w:vAlign w:val="center"/>
          </w:tcPr>
          <w:p w14:paraId="007FA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Segoe UI" w:hAnsi="Segoe UI" w:eastAsia="Segoe UI" w:cs="Segoe UI"/>
                <w:i w:val="0"/>
                <w:iCs w:val="0"/>
                <w:caps w:val="0"/>
                <w:color w:val="auto"/>
                <w:spacing w:val="0"/>
                <w:sz w:val="21"/>
                <w:szCs w:val="21"/>
                <w:highlight w:val="none"/>
                <w:shd w:val="clear" w:fill="FFFFFF"/>
              </w:rPr>
              <w:t>计量方式</w:t>
            </w:r>
          </w:p>
        </w:tc>
        <w:tc>
          <w:tcPr>
            <w:tcW w:w="5898" w:type="dxa"/>
            <w:tcBorders>
              <w:tl2br w:val="nil"/>
              <w:tr2bl w:val="nil"/>
            </w:tcBorders>
            <w:vAlign w:val="center"/>
          </w:tcPr>
          <w:p w14:paraId="1A5BFA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过磅计量</w:t>
            </w:r>
            <w:r>
              <w:rPr>
                <w:rFonts w:hint="default" w:ascii="Times New Roman" w:hAnsi="Times New Roman" w:eastAsia="宋体" w:cs="Times New Roman"/>
                <w:color w:val="auto"/>
                <w:highlight w:val="none"/>
              </w:rPr>
              <w:t>。以工地现场地磅或双方认可的第三方公磅称重数据为准。</w:t>
            </w:r>
          </w:p>
        </w:tc>
      </w:tr>
      <w:tr w14:paraId="72E6B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0622F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980" w:type="dxa"/>
            <w:tcBorders>
              <w:tl2br w:val="nil"/>
              <w:tr2bl w:val="nil"/>
            </w:tcBorders>
            <w:vAlign w:val="center"/>
          </w:tcPr>
          <w:p w14:paraId="750A93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Segoe UI" w:hAnsi="Segoe UI" w:eastAsia="宋体" w:cs="Segoe UI"/>
                <w:i w:val="0"/>
                <w:iCs w:val="0"/>
                <w:caps w:val="0"/>
                <w:color w:val="auto"/>
                <w:spacing w:val="0"/>
                <w:sz w:val="21"/>
                <w:szCs w:val="21"/>
                <w:highlight w:val="none"/>
                <w:shd w:val="clear" w:fill="FFFFFF"/>
                <w:lang w:val="en-US" w:eastAsia="zh-CN"/>
              </w:rPr>
              <w:t>响应文件份数</w:t>
            </w:r>
          </w:p>
        </w:tc>
        <w:tc>
          <w:tcPr>
            <w:tcW w:w="5898" w:type="dxa"/>
            <w:tcBorders>
              <w:tl2br w:val="nil"/>
              <w:tr2bl w:val="nil"/>
            </w:tcBorders>
            <w:vAlign w:val="center"/>
          </w:tcPr>
          <w:p w14:paraId="255EC8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正本一份，副本一份</w:t>
            </w:r>
          </w:p>
        </w:tc>
      </w:tr>
      <w:tr w14:paraId="60D2A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3DAEFE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bCs/>
                <w:color w:val="auto"/>
                <w:szCs w:val="21"/>
                <w:highlight w:val="none"/>
              </w:rPr>
            </w:pPr>
            <w:r>
              <w:rPr>
                <w:rFonts w:hint="eastAsia" w:ascii="宋体" w:hAnsi="宋体"/>
                <w:b/>
                <w:color w:val="auto"/>
                <w:szCs w:val="21"/>
                <w:highlight w:val="none"/>
              </w:rPr>
              <w:t>四、响应文件的递交</w:t>
            </w:r>
          </w:p>
        </w:tc>
      </w:tr>
      <w:tr w14:paraId="71AEE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1F662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980" w:type="dxa"/>
            <w:tcBorders>
              <w:tl2br w:val="nil"/>
              <w:tr2bl w:val="nil"/>
            </w:tcBorders>
            <w:shd w:val="clear" w:color="auto" w:fill="auto"/>
            <w:vAlign w:val="center"/>
          </w:tcPr>
          <w:p w14:paraId="50622E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898" w:type="dxa"/>
            <w:tcBorders>
              <w:tl2br w:val="nil"/>
              <w:tr2bl w:val="nil"/>
            </w:tcBorders>
            <w:shd w:val="clear" w:color="auto" w:fill="auto"/>
            <w:vAlign w:val="center"/>
          </w:tcPr>
          <w:p w14:paraId="0139FD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项目名称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株洲北斗应用与信息技术产业示范基地配套基础设施项目（一期）</w:t>
            </w:r>
            <w:r>
              <w:rPr>
                <w:rFonts w:hint="eastAsia" w:ascii="宋体" w:hAnsi="宋体" w:cs="Times New Roman"/>
                <w:color w:val="auto"/>
                <w:szCs w:val="21"/>
                <w:highlight w:val="none"/>
                <w:lang w:val="en-US" w:eastAsia="zh-CN"/>
              </w:rPr>
              <w:t>厂房钢结构</w:t>
            </w:r>
            <w:r>
              <w:rPr>
                <w:rFonts w:hint="eastAsia" w:ascii="宋体" w:hAnsi="宋体" w:eastAsia="宋体" w:cs="Times New Roman"/>
                <w:color w:val="auto"/>
                <w:szCs w:val="21"/>
                <w:highlight w:val="none"/>
                <w:lang w:val="en-US" w:eastAsia="zh-CN"/>
              </w:rPr>
              <w:t>材料采购</w:t>
            </w:r>
          </w:p>
          <w:p w14:paraId="3E75A8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single"/>
                <w:lang w:eastAsia="zh-CN"/>
              </w:rPr>
              <w:t xml:space="preserve">株洲市云龙发展集团城市建设有限公司   </w:t>
            </w:r>
            <w:r>
              <w:rPr>
                <w:rFonts w:hint="eastAsia" w:ascii="宋体" w:hAnsi="宋体"/>
                <w:color w:val="auto"/>
                <w:szCs w:val="21"/>
                <w:highlight w:val="none"/>
              </w:rPr>
              <w:t xml:space="preserve">                              </w:t>
            </w:r>
          </w:p>
          <w:p w14:paraId="7729DA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4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13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时（即响应文件开启时间）前不得启封</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278FDD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Cs w:val="21"/>
                <w:highlight w:val="none"/>
                <w:u w:val="none"/>
                <w:lang w:eastAsia="zh-CN"/>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14:paraId="7CECF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shd w:val="clear" w:color="auto" w:fill="auto"/>
            <w:vAlign w:val="center"/>
          </w:tcPr>
          <w:p w14:paraId="0EEE83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w:t>
            </w:r>
          </w:p>
        </w:tc>
        <w:tc>
          <w:tcPr>
            <w:tcW w:w="1980" w:type="dxa"/>
            <w:tcBorders>
              <w:tl2br w:val="nil"/>
              <w:tr2bl w:val="nil"/>
            </w:tcBorders>
            <w:shd w:val="clear" w:color="auto" w:fill="auto"/>
            <w:vAlign w:val="center"/>
          </w:tcPr>
          <w:p w14:paraId="7D3A48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响应文件的递交地点</w:t>
            </w:r>
          </w:p>
        </w:tc>
        <w:tc>
          <w:tcPr>
            <w:tcW w:w="5898" w:type="dxa"/>
            <w:tcBorders>
              <w:tl2br w:val="nil"/>
              <w:tr2bl w:val="nil"/>
            </w:tcBorders>
            <w:shd w:val="clear" w:color="auto" w:fill="auto"/>
            <w:vAlign w:val="center"/>
          </w:tcPr>
          <w:p w14:paraId="23E463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株洲市石峰区云龙大道88号管委会727室</w:t>
            </w:r>
          </w:p>
        </w:tc>
      </w:tr>
      <w:tr w14:paraId="1FD74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166410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755F3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二次报价</w:t>
            </w:r>
          </w:p>
        </w:tc>
        <w:tc>
          <w:tcPr>
            <w:tcW w:w="5898" w:type="dxa"/>
            <w:tcBorders>
              <w:tl2br w:val="nil"/>
              <w:tr2bl w:val="nil"/>
            </w:tcBorders>
            <w:vAlign w:val="center"/>
          </w:tcPr>
          <w:p w14:paraId="0E5641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需进行二次报价</w:t>
            </w:r>
          </w:p>
        </w:tc>
      </w:tr>
      <w:tr w14:paraId="70FF8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3"/>
            <w:tcBorders>
              <w:tl2br w:val="nil"/>
              <w:tr2bl w:val="nil"/>
            </w:tcBorders>
            <w:vAlign w:val="center"/>
          </w:tcPr>
          <w:p w14:paraId="6FFDC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
                <w:color w:val="auto"/>
                <w:szCs w:val="21"/>
                <w:highlight w:val="none"/>
              </w:rPr>
            </w:pPr>
            <w:r>
              <w:rPr>
                <w:rFonts w:hint="eastAsia" w:ascii="宋体" w:hAnsi="宋体"/>
                <w:b/>
                <w:color w:val="auto"/>
                <w:szCs w:val="21"/>
                <w:highlight w:val="none"/>
              </w:rPr>
              <w:t>七、其他规定</w:t>
            </w:r>
          </w:p>
        </w:tc>
      </w:tr>
      <w:tr w14:paraId="2063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7073F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980" w:type="dxa"/>
            <w:tcBorders>
              <w:tl2br w:val="nil"/>
              <w:tr2bl w:val="nil"/>
            </w:tcBorders>
            <w:vAlign w:val="center"/>
          </w:tcPr>
          <w:p w14:paraId="61FA7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其他规定</w:t>
            </w:r>
          </w:p>
        </w:tc>
        <w:tc>
          <w:tcPr>
            <w:tcW w:w="5898" w:type="dxa"/>
            <w:tcBorders>
              <w:tl2br w:val="nil"/>
              <w:tr2bl w:val="nil"/>
            </w:tcBorders>
            <w:vAlign w:val="center"/>
          </w:tcPr>
          <w:p w14:paraId="2800996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至响应文件递交截止时间提交响应文件的供应商不足三家的，本项目予以废标，由采购人重新组织采购活动。</w:t>
            </w:r>
          </w:p>
          <w:p w14:paraId="3F2AEAA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在本项目评审过程中合格供应商只有两家时，由评审小组根据本项目是否依然存在竞争</w:t>
            </w:r>
            <w:r>
              <w:rPr>
                <w:rFonts w:hint="eastAsia"/>
                <w:color w:val="auto"/>
                <w:highlight w:val="none"/>
                <w:lang w:eastAsia="zh-CN"/>
              </w:rPr>
              <w:t>，</w:t>
            </w:r>
            <w:r>
              <w:rPr>
                <w:rFonts w:hint="eastAsia"/>
                <w:color w:val="auto"/>
                <w:highlight w:val="none"/>
              </w:rPr>
              <w:t>集体决议本项目采购活动是否继续进行。评审小组意见不一致的，以少数服从多数的原则进行票决。</w:t>
            </w:r>
          </w:p>
        </w:tc>
      </w:tr>
      <w:tr w14:paraId="3D5B7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32CDA9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980" w:type="dxa"/>
            <w:tcBorders>
              <w:tl2br w:val="nil"/>
              <w:tr2bl w:val="nil"/>
            </w:tcBorders>
            <w:vAlign w:val="center"/>
          </w:tcPr>
          <w:p w14:paraId="747D7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解释权</w:t>
            </w:r>
          </w:p>
        </w:tc>
        <w:tc>
          <w:tcPr>
            <w:tcW w:w="5898" w:type="dxa"/>
            <w:tcBorders>
              <w:tl2br w:val="nil"/>
              <w:tr2bl w:val="nil"/>
            </w:tcBorders>
            <w:vAlign w:val="center"/>
          </w:tcPr>
          <w:p w14:paraId="1010C30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highlight w:val="none"/>
              </w:rPr>
            </w:pPr>
            <w:r>
              <w:rPr>
                <w:rFonts w:hint="eastAsia"/>
                <w:color w:val="auto"/>
                <w:highlight w:val="none"/>
              </w:rPr>
              <w:t>构成本采购文件的各个组成文件应互为解释，互为说明；如有不明确或不一致，构成合同文件组成内容，以合同文件约定内容为准，且以专用合同条款约定的合同文件优先顺序解释；除采购文件中有特别规定外，仅适用于采购活动阶段的规定，按采购公告（采购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B8D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l2br w:val="nil"/>
              <w:tr2bl w:val="nil"/>
            </w:tcBorders>
            <w:vAlign w:val="center"/>
          </w:tcPr>
          <w:p w14:paraId="69EC39E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olor w:val="auto"/>
                <w:szCs w:val="21"/>
                <w:highlight w:val="none"/>
              </w:rPr>
            </w:pPr>
            <w:r>
              <w:rPr>
                <w:rFonts w:hint="eastAsia" w:ascii="宋体" w:hAnsi="宋体" w:cs="宋体"/>
                <w:color w:val="auto"/>
                <w:kern w:val="0"/>
                <w:szCs w:val="21"/>
                <w:highlight w:val="none"/>
                <w:lang w:val="en-US" w:eastAsia="zh-CN"/>
              </w:rPr>
              <w:t>13</w:t>
            </w:r>
          </w:p>
        </w:tc>
        <w:tc>
          <w:tcPr>
            <w:tcW w:w="1980" w:type="dxa"/>
            <w:tcBorders>
              <w:tl2br w:val="nil"/>
              <w:tr2bl w:val="nil"/>
            </w:tcBorders>
            <w:vAlign w:val="center"/>
          </w:tcPr>
          <w:p w14:paraId="2AA44E3A">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cs="宋体"/>
                <w:color w:val="FF0000"/>
                <w:szCs w:val="21"/>
                <w:highlight w:val="none"/>
              </w:rPr>
            </w:pPr>
            <w:r>
              <w:rPr>
                <w:rFonts w:ascii="Segoe UI" w:hAnsi="Segoe UI" w:eastAsia="Segoe UI" w:cs="Segoe UI"/>
                <w:i w:val="0"/>
                <w:iCs w:val="0"/>
                <w:caps w:val="0"/>
                <w:color w:val="FF0000"/>
                <w:spacing w:val="0"/>
                <w:sz w:val="21"/>
                <w:szCs w:val="21"/>
                <w:highlight w:val="none"/>
                <w:shd w:val="clear" w:fill="FFFFFF"/>
              </w:rPr>
              <w:t>废标条款</w:t>
            </w:r>
          </w:p>
        </w:tc>
        <w:tc>
          <w:tcPr>
            <w:tcW w:w="5898" w:type="dxa"/>
            <w:tcBorders>
              <w:tl2br w:val="nil"/>
              <w:tr2bl w:val="nil"/>
            </w:tcBorders>
            <w:vAlign w:val="center"/>
          </w:tcPr>
          <w:p w14:paraId="237278FE">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color w:val="FF0000"/>
                <w:highlight w:val="none"/>
              </w:rPr>
            </w:pPr>
            <w:r>
              <w:rPr>
                <w:rFonts w:ascii="Segoe UI" w:hAnsi="Segoe UI" w:eastAsia="Segoe UI" w:cs="Segoe UI"/>
                <w:i w:val="0"/>
                <w:iCs w:val="0"/>
                <w:caps w:val="0"/>
                <w:color w:val="FF0000"/>
                <w:spacing w:val="0"/>
                <w:sz w:val="21"/>
                <w:szCs w:val="21"/>
                <w:highlight w:val="none"/>
                <w:shd w:val="clear" w:fill="FFFFFF"/>
              </w:rPr>
              <w:t>所投品牌不在指定范围内（湘钢、萍钢、涟钢）的，直接废标。</w:t>
            </w:r>
          </w:p>
        </w:tc>
      </w:tr>
    </w:tbl>
    <w:p w14:paraId="37DD3766">
      <w:pPr>
        <w:pStyle w:val="2"/>
        <w:numPr>
          <w:ilvl w:val="0"/>
          <w:numId w:val="0"/>
        </w:numPr>
        <w:jc w:val="left"/>
        <w:rPr>
          <w:rFonts w:hint="eastAsia" w:ascii="黑体" w:hAnsi="宋体" w:eastAsia="黑体"/>
          <w:b/>
          <w:bCs/>
          <w:color w:val="auto"/>
          <w:sz w:val="24"/>
          <w:highlight w:val="none"/>
        </w:rPr>
      </w:pPr>
    </w:p>
    <w:p w14:paraId="085DB3ED">
      <w:pPr>
        <w:pStyle w:val="2"/>
        <w:keepNext w:val="0"/>
        <w:keepLines w:val="0"/>
        <w:pageBreakBefore w:val="0"/>
        <w:numPr>
          <w:ilvl w:val="0"/>
          <w:numId w:val="0"/>
        </w:numPr>
        <w:kinsoku/>
        <w:wordWrap/>
        <w:overflowPunct/>
        <w:topLinePunct w:val="0"/>
        <w:autoSpaceDE/>
        <w:bidi w:val="0"/>
        <w:spacing w:line="360" w:lineRule="auto"/>
        <w:jc w:val="left"/>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一、说明</w:t>
      </w:r>
    </w:p>
    <w:p w14:paraId="6503C68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1.适用范围</w:t>
      </w:r>
    </w:p>
    <w:p w14:paraId="13F942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1.1 本采购文件仅适用于</w:t>
      </w:r>
      <w:r>
        <w:rPr>
          <w:rFonts w:hint="eastAsia" w:ascii="宋体" w:hAnsi="宋体"/>
          <w:color w:val="auto"/>
          <w:szCs w:val="21"/>
          <w:highlight w:val="none"/>
          <w:lang w:eastAsia="zh-CN"/>
        </w:rPr>
        <w:t>竞谈须知前附表</w:t>
      </w:r>
      <w:r>
        <w:rPr>
          <w:rFonts w:hint="eastAsia" w:ascii="宋体" w:hAnsi="宋体"/>
          <w:color w:val="auto"/>
          <w:szCs w:val="21"/>
          <w:highlight w:val="none"/>
        </w:rPr>
        <w:t>(以下简称</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中所叙述的采购项目。</w:t>
      </w:r>
    </w:p>
    <w:p w14:paraId="7CEF10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2.定义</w:t>
      </w:r>
    </w:p>
    <w:p w14:paraId="310A23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2.1 “采购人”是指提出并组织实施采购项目的法人或其他组织。本次采购的采购人名称、地址、电话、联系人见</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w:t>
      </w:r>
    </w:p>
    <w:p w14:paraId="655F1A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2.2  “供应商”是指参加采购活动，有意向为采购人提供工程、货物或服务的法人、其他组织或自然人。</w:t>
      </w:r>
    </w:p>
    <w:p w14:paraId="090BE5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“评审小组”是指采购活动中，由采购人组建的负责按照采购文件规定的评审方法和标准对响应文件进行评审和比较、向采购人推荐候选成交供应商的工作组。</w:t>
      </w:r>
    </w:p>
    <w:p w14:paraId="6A9E83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3.供应商的资格要求</w:t>
      </w:r>
    </w:p>
    <w:p w14:paraId="0395AF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中规定的下列资格条件要求；</w:t>
      </w:r>
    </w:p>
    <w:p w14:paraId="7F29D1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3.2 供应商不得存在下列情形之一：</w:t>
      </w:r>
    </w:p>
    <w:p w14:paraId="5BC829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（l）与采购人存在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158C2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（2）与其他供应商的法定代表人（或者负责人）为同一人，或者与其他供应商存在控股、关联关系。</w:t>
      </w:r>
    </w:p>
    <w:p w14:paraId="0D307D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（3）因违法经营受到刑事处罚或者责令停产停业、吊销许可证或者执照、较大数额罚款等行政处罚。</w:t>
      </w:r>
    </w:p>
    <w:p w14:paraId="6817330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b/>
          <w:bCs/>
          <w:color w:val="auto"/>
          <w:highlight w:val="none"/>
        </w:rPr>
      </w:pPr>
      <w:r>
        <w:rPr>
          <w:rFonts w:hint="eastAsia" w:hAnsi="宋体"/>
          <w:b/>
          <w:color w:val="auto"/>
          <w:highlight w:val="none"/>
          <w:lang w:val="en-US" w:eastAsia="zh-CN"/>
        </w:rPr>
        <w:t>4</w:t>
      </w:r>
      <w:r>
        <w:rPr>
          <w:rFonts w:hint="eastAsia" w:hAnsi="宋体"/>
          <w:b/>
          <w:color w:val="auto"/>
          <w:highlight w:val="none"/>
        </w:rPr>
        <w:t>．</w:t>
      </w:r>
      <w:r>
        <w:rPr>
          <w:rFonts w:hint="eastAsia" w:hAnsi="宋体"/>
          <w:b/>
          <w:bCs/>
          <w:color w:val="auto"/>
          <w:highlight w:val="none"/>
        </w:rPr>
        <w:t>授权委托</w:t>
      </w:r>
    </w:p>
    <w:p w14:paraId="3420C3C5">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.1供应商代表为供应商法定代表人的，应持有法定代表人身份证明。供应商代表不是供应商法定代表人的，应持有法定代表人授权书，并附法定代表人身份证明。</w:t>
      </w:r>
    </w:p>
    <w:p w14:paraId="1C9A9434">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二、采购文件</w:t>
      </w:r>
    </w:p>
    <w:p w14:paraId="16D99FF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．采购文件的组成</w:t>
      </w:r>
    </w:p>
    <w:p w14:paraId="4634654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.1 采购文件由下列文件组成：</w:t>
      </w:r>
    </w:p>
    <w:p w14:paraId="73B13627">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eastAsia="宋体"/>
          <w:color w:val="auto"/>
          <w:highlight w:val="none"/>
          <w:lang w:eastAsia="zh-CN"/>
        </w:rPr>
      </w:pPr>
      <w:r>
        <w:rPr>
          <w:rFonts w:hint="eastAsia" w:hAnsi="宋体"/>
          <w:color w:val="auto"/>
          <w:highlight w:val="none"/>
        </w:rPr>
        <w:t xml:space="preserve">第一章  </w:t>
      </w:r>
      <w:r>
        <w:rPr>
          <w:rFonts w:hint="eastAsia" w:hAnsi="宋体"/>
          <w:color w:val="auto"/>
          <w:highlight w:val="none"/>
          <w:lang w:eastAsia="zh-CN"/>
        </w:rPr>
        <w:t>竞谈采购邀请书</w:t>
      </w:r>
    </w:p>
    <w:p w14:paraId="2E8057FF">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第二章  供应商须知</w:t>
      </w:r>
    </w:p>
    <w:p w14:paraId="41BCBEA4">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第三章  评审办法</w:t>
      </w:r>
    </w:p>
    <w:p w14:paraId="6256C40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第四章  采购需求</w:t>
      </w:r>
    </w:p>
    <w:p w14:paraId="256080C6">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第五章  响应文件组成</w:t>
      </w:r>
    </w:p>
    <w:p w14:paraId="3CD097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szCs w:val="21"/>
          <w:highlight w:val="none"/>
        </w:rPr>
        <w:t>供应商应仔细阅读</w:t>
      </w:r>
      <w:r>
        <w:rPr>
          <w:rFonts w:hint="eastAsia" w:ascii="宋体" w:hAnsi="宋体"/>
          <w:bCs/>
          <w:color w:val="auto"/>
          <w:szCs w:val="21"/>
          <w:highlight w:val="none"/>
        </w:rPr>
        <w:t>采购文件</w:t>
      </w:r>
      <w:r>
        <w:rPr>
          <w:rFonts w:hint="eastAsia" w:ascii="宋体" w:hAnsi="宋体"/>
          <w:color w:val="auto"/>
          <w:szCs w:val="21"/>
          <w:highlight w:val="none"/>
        </w:rPr>
        <w:t>的全部内容，按照</w:t>
      </w:r>
      <w:r>
        <w:rPr>
          <w:rFonts w:hint="eastAsia" w:ascii="宋体" w:hAnsi="宋体"/>
          <w:bCs/>
          <w:color w:val="auto"/>
          <w:szCs w:val="21"/>
          <w:highlight w:val="none"/>
        </w:rPr>
        <w:t>采购文件</w:t>
      </w:r>
      <w:r>
        <w:rPr>
          <w:rFonts w:hint="eastAsia" w:ascii="宋体" w:hAnsi="宋体"/>
          <w:color w:val="auto"/>
          <w:szCs w:val="21"/>
          <w:highlight w:val="none"/>
        </w:rPr>
        <w:t>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采购文件</w:t>
      </w:r>
      <w:r>
        <w:rPr>
          <w:rFonts w:hint="eastAsia" w:ascii="宋体" w:hAnsi="宋体"/>
          <w:color w:val="auto"/>
          <w:szCs w:val="21"/>
          <w:highlight w:val="none"/>
        </w:rPr>
        <w:t>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799ACCAC">
      <w:pPr>
        <w:pStyle w:val="1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olor w:val="auto"/>
          <w:highlight w:val="none"/>
        </w:rPr>
      </w:pPr>
      <w:r>
        <w:rPr>
          <w:rFonts w:hint="eastAsia" w:hAnsi="宋体"/>
          <w:b/>
          <w:color w:val="auto"/>
          <w:highlight w:val="none"/>
          <w:lang w:val="en-US" w:eastAsia="zh-CN"/>
        </w:rPr>
        <w:t>6</w:t>
      </w:r>
      <w:r>
        <w:rPr>
          <w:rFonts w:hint="eastAsia" w:hAnsi="宋体"/>
          <w:b/>
          <w:color w:val="auto"/>
          <w:highlight w:val="none"/>
        </w:rPr>
        <w:t>.</w:t>
      </w:r>
      <w:r>
        <w:rPr>
          <w:rFonts w:hint="eastAsia" w:hAnsi="宋体" w:cs="宋体"/>
          <w:b/>
          <w:color w:val="auto"/>
          <w:kern w:val="0"/>
          <w:highlight w:val="none"/>
        </w:rPr>
        <w:t>提交响应文件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64B3F563">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rPr>
        <w:t>供应商提交响应文件截止</w:t>
      </w:r>
      <w:r>
        <w:rPr>
          <w:rFonts w:hint="eastAsia" w:hAnsi="宋体"/>
          <w:color w:val="auto"/>
          <w:highlight w:val="none"/>
        </w:rPr>
        <w:t>时间见</w:t>
      </w:r>
      <w:r>
        <w:rPr>
          <w:rFonts w:hint="eastAsia" w:hAnsi="宋体"/>
          <w:b/>
          <w:color w:val="auto"/>
          <w:szCs w:val="21"/>
          <w:highlight w:val="none"/>
          <w:lang w:eastAsia="zh-CN"/>
        </w:rPr>
        <w:t>竞谈须知</w:t>
      </w:r>
      <w:r>
        <w:rPr>
          <w:rFonts w:hint="eastAsia" w:ascii="宋体" w:hAnsi="宋体"/>
          <w:b/>
          <w:color w:val="auto"/>
          <w:szCs w:val="21"/>
          <w:highlight w:val="none"/>
        </w:rPr>
        <w:t>前附表</w:t>
      </w:r>
      <w:r>
        <w:rPr>
          <w:rFonts w:hint="eastAsia" w:hAnsi="宋体"/>
          <w:color w:val="auto"/>
          <w:highlight w:val="none"/>
        </w:rPr>
        <w:t>。</w:t>
      </w:r>
    </w:p>
    <w:p w14:paraId="5937C957">
      <w:pPr>
        <w:keepNext w:val="0"/>
        <w:keepLines w:val="0"/>
        <w:pageBreakBefore w:val="0"/>
        <w:kinsoku/>
        <w:wordWrap/>
        <w:overflowPunct/>
        <w:topLinePunct w:val="0"/>
        <w:autoSpaceDE/>
        <w:bidi w:val="0"/>
        <w:adjustRightInd w:val="0"/>
        <w:snapToGrid w:val="0"/>
        <w:spacing w:line="360" w:lineRule="auto"/>
        <w:ind w:left="902" w:hanging="906" w:hangingChars="376"/>
        <w:textAlignment w:val="auto"/>
        <w:rPr>
          <w:rFonts w:ascii="黑体" w:hAnsi="宋体" w:eastAsia="黑体"/>
          <w:b/>
          <w:bCs/>
          <w:color w:val="auto"/>
          <w:sz w:val="24"/>
          <w:highlight w:val="none"/>
        </w:rPr>
      </w:pPr>
      <w:r>
        <w:rPr>
          <w:rFonts w:hint="eastAsia" w:ascii="黑体" w:hAnsi="宋体" w:eastAsia="黑体"/>
          <w:b/>
          <w:bCs/>
          <w:color w:val="auto"/>
          <w:sz w:val="24"/>
          <w:highlight w:val="none"/>
        </w:rPr>
        <w:t>三、响应文件</w:t>
      </w:r>
    </w:p>
    <w:p w14:paraId="6417044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rPr>
        <w:t>.一般要求</w:t>
      </w:r>
    </w:p>
    <w:p w14:paraId="7DDE25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.1 供应商应仔细阅读采购文件的所有内容，按采购文件的要求编制响应文件，并保证所提供的全部资料的真实性，以使其响应文件对采购文件做出实质性的响应。</w:t>
      </w:r>
    </w:p>
    <w:p w14:paraId="640DD6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.2 </w:t>
      </w:r>
      <w:r>
        <w:rPr>
          <w:rFonts w:hint="eastAsia" w:hAnsi="宋体"/>
          <w:bCs/>
          <w:color w:val="auto"/>
          <w:highlight w:val="none"/>
        </w:rPr>
        <w:t xml:space="preserve"> </w:t>
      </w:r>
      <w:r>
        <w:rPr>
          <w:rFonts w:hint="eastAsia" w:hAnsi="宋体"/>
          <w:color w:val="auto"/>
          <w:highlight w:val="none"/>
        </w:rPr>
        <w:t>计量单位应使用我国法定计量单位，未列明时应默认为我国法定计量单位。</w:t>
      </w:r>
    </w:p>
    <w:p w14:paraId="32F2D81B">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w:t>
      </w:r>
      <w:r>
        <w:rPr>
          <w:rFonts w:hint="eastAsia" w:hAnsi="宋体"/>
          <w:color w:val="auto"/>
          <w:highlight w:val="none"/>
          <w:lang w:val="en-US" w:eastAsia="zh-CN"/>
        </w:rPr>
        <w:t>3</w:t>
      </w:r>
      <w:r>
        <w:rPr>
          <w:rFonts w:hint="eastAsia" w:hAnsi="宋体"/>
          <w:color w:val="auto"/>
          <w:highlight w:val="none"/>
        </w:rPr>
        <w:t xml:space="preserve"> 响应文件应采用书面形式，电报、传真、电子邮件形式的响应文件概不接受。</w:t>
      </w:r>
    </w:p>
    <w:p w14:paraId="5A5EE7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供应商应按采购文件中提供的响应文件格式填写。</w:t>
      </w:r>
    </w:p>
    <w:p w14:paraId="1E0AA18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90A3A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.1</w:t>
      </w:r>
      <w:r>
        <w:rPr>
          <w:rFonts w:hint="eastAsia" w:hAnsi="宋体"/>
          <w:color w:val="auto"/>
          <w:highlight w:val="none"/>
        </w:rPr>
        <w:t xml:space="preserve"> 响应文件包括下列内容：</w:t>
      </w:r>
      <w:r>
        <w:rPr>
          <w:rFonts w:hint="eastAsia" w:ascii="宋体" w:hAnsi="宋体"/>
          <w:color w:val="auto"/>
          <w:szCs w:val="21"/>
          <w:highlight w:val="none"/>
        </w:rPr>
        <w:t xml:space="preserve"> </w:t>
      </w:r>
    </w:p>
    <w:p w14:paraId="1498BBA4">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响应声明</w:t>
      </w:r>
    </w:p>
    <w:p w14:paraId="6F2BDB5F">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供应商资格证明材料</w:t>
      </w:r>
    </w:p>
    <w:p w14:paraId="78370293">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报价一览表及报价文件</w:t>
      </w:r>
    </w:p>
    <w:p w14:paraId="05B517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供应商认为需要提供的其它资料</w:t>
      </w:r>
    </w:p>
    <w:p w14:paraId="760D70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.2</w:t>
      </w:r>
      <w:r>
        <w:rPr>
          <w:rFonts w:hint="eastAsia" w:ascii="宋体" w:hAnsi="宋体"/>
          <w:color w:val="auto"/>
          <w:szCs w:val="21"/>
          <w:highlight w:val="none"/>
        </w:rPr>
        <w:t>供应商无论成交与否，其响应文件不予退还。</w:t>
      </w:r>
    </w:p>
    <w:p w14:paraId="0A0795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.报价</w:t>
      </w:r>
    </w:p>
    <w:p w14:paraId="4A05EC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43C3777E">
      <w:pPr>
        <w:pStyle w:val="34"/>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.2供应商应按第四章“采购需求”要求及第五章“响应文件组成”格式填写。供应商在</w:t>
      </w:r>
      <w:r>
        <w:rPr>
          <w:rFonts w:hint="eastAsia" w:ascii="宋体" w:hAnsi="宋体" w:cs="宋体"/>
          <w:color w:val="auto"/>
          <w:highlight w:val="none"/>
        </w:rPr>
        <w:t>提交响应文件截止之日前</w:t>
      </w:r>
      <w:r>
        <w:rPr>
          <w:rFonts w:hint="eastAsia" w:ascii="宋体" w:hAnsi="宋体"/>
          <w:color w:val="auto"/>
          <w:highlight w:val="none"/>
        </w:rPr>
        <w:t>修改报价一览表中的报价，应同时修改其按第五章要求填写的相应表格中的报价。</w:t>
      </w:r>
      <w:r>
        <w:rPr>
          <w:rFonts w:hint="eastAsia" w:ascii="宋体" w:hAnsi="宋体" w:cs="宋体"/>
          <w:color w:val="auto"/>
          <w:highlight w:val="none"/>
        </w:rPr>
        <w:t>此修改须符合本章第</w:t>
      </w:r>
      <w:r>
        <w:rPr>
          <w:rFonts w:hint="eastAsia" w:ascii="宋体" w:hAnsi="宋体" w:cs="宋体"/>
          <w:color w:val="auto"/>
          <w:highlight w:val="none"/>
          <w:lang w:val="en-US" w:eastAsia="zh-CN"/>
        </w:rPr>
        <w:t>13</w:t>
      </w:r>
      <w:r>
        <w:rPr>
          <w:rFonts w:hint="eastAsia" w:ascii="宋体" w:hAnsi="宋体" w:cs="宋体"/>
          <w:color w:val="auto"/>
          <w:highlight w:val="none"/>
        </w:rPr>
        <w:t>.1款的有关要求。</w:t>
      </w:r>
    </w:p>
    <w:p w14:paraId="2A182293">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w:t>
      </w:r>
      <w:r>
        <w:rPr>
          <w:rFonts w:hint="eastAsia" w:ascii="宋体" w:hAnsi="宋体"/>
          <w:color w:val="auto"/>
          <w:szCs w:val="21"/>
          <w:highlight w:val="none"/>
        </w:rPr>
        <w:t xml:space="preserve"> </w:t>
      </w:r>
      <w:r>
        <w:rPr>
          <w:rFonts w:hint="eastAsia" w:hAnsi="宋体"/>
          <w:b/>
          <w:color w:val="auto"/>
          <w:highlight w:val="none"/>
        </w:rPr>
        <w:t>响应文件</w:t>
      </w:r>
      <w:r>
        <w:rPr>
          <w:rFonts w:hint="eastAsia" w:ascii="宋体" w:hAnsi="宋体"/>
          <w:b/>
          <w:color w:val="auto"/>
          <w:szCs w:val="21"/>
          <w:highlight w:val="none"/>
        </w:rPr>
        <w:t>有效期</w:t>
      </w:r>
    </w:p>
    <w:p w14:paraId="3974C6A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竞谈须知</w:t>
      </w:r>
      <w:r>
        <w:rPr>
          <w:rFonts w:hint="eastAsia" w:ascii="宋体" w:hAnsi="宋体"/>
          <w:b/>
          <w:color w:val="auto"/>
          <w:highlight w:val="none"/>
        </w:rPr>
        <w:t>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1395249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.响应文件的签署及规定</w:t>
      </w:r>
    </w:p>
    <w:p w14:paraId="2C135D4F">
      <w:pPr>
        <w:pStyle w:val="13"/>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 xml:space="preserve"> 响应文件应按采购文件要求签章处盖单位章和由法定代表人或其委托代理人签字；任何加行、涂改、增删，应有法定代表人或其委托代理人在旁边签字。否则，将导致响应文件无效。</w:t>
      </w:r>
    </w:p>
    <w:p w14:paraId="397939B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5C13D59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7D06A4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.1响应文件</w:t>
      </w:r>
      <w:r>
        <w:rPr>
          <w:rFonts w:hint="eastAsia" w:hAnsi="宋体"/>
          <w:color w:val="auto"/>
          <w:highlight w:val="none"/>
          <w:lang w:eastAsia="zh-CN"/>
        </w:rPr>
        <w:t>每一页都需要</w:t>
      </w:r>
      <w:r>
        <w:rPr>
          <w:rFonts w:hint="eastAsia" w:hAnsi="宋体"/>
          <w:color w:val="auto"/>
          <w:highlight w:val="none"/>
        </w:rPr>
        <w:t>盖供应商单位章</w:t>
      </w:r>
      <w:r>
        <w:rPr>
          <w:rFonts w:hint="eastAsia" w:hAnsi="宋体"/>
          <w:color w:val="auto"/>
          <w:highlight w:val="none"/>
          <w:lang w:eastAsia="zh-CN"/>
        </w:rPr>
        <w:t>，需要</w:t>
      </w:r>
      <w:r>
        <w:rPr>
          <w:rFonts w:hint="eastAsia" w:hAnsi="宋体"/>
          <w:color w:val="auto"/>
          <w:highlight w:val="none"/>
        </w:rPr>
        <w:t>由法定代表人或其委托代理人签字</w:t>
      </w:r>
      <w:r>
        <w:rPr>
          <w:rFonts w:hint="eastAsia" w:hAnsi="宋体"/>
          <w:color w:val="auto"/>
          <w:highlight w:val="none"/>
          <w:lang w:eastAsia="zh-CN"/>
        </w:rPr>
        <w:t>的位置必须签字盖章</w:t>
      </w:r>
      <w:r>
        <w:rPr>
          <w:rFonts w:hint="eastAsia" w:hAnsi="宋体"/>
          <w:color w:val="auto"/>
          <w:highlight w:val="none"/>
        </w:rPr>
        <w:t>。</w:t>
      </w:r>
      <w:r>
        <w:rPr>
          <w:rFonts w:hint="eastAsia" w:ascii="宋体" w:hAnsi="宋体" w:cs="宋体"/>
          <w:color w:val="auto"/>
          <w:szCs w:val="21"/>
          <w:highlight w:val="none"/>
        </w:rPr>
        <w:t>如果未按规定</w:t>
      </w:r>
      <w:r>
        <w:rPr>
          <w:rFonts w:hint="eastAsia" w:ascii="宋体" w:hAnsi="宋体" w:cs="宋体"/>
          <w:color w:val="auto"/>
          <w:szCs w:val="21"/>
          <w:highlight w:val="none"/>
          <w:lang w:eastAsia="zh-CN"/>
        </w:rPr>
        <w:t>要求进行密封和标记</w:t>
      </w:r>
      <w:r>
        <w:rPr>
          <w:rFonts w:hint="eastAsia" w:ascii="宋体" w:hAnsi="宋体" w:cs="宋体"/>
          <w:color w:val="auto"/>
          <w:szCs w:val="21"/>
          <w:highlight w:val="none"/>
        </w:rPr>
        <w:t>，采购人将拒绝接收</w:t>
      </w:r>
      <w:r>
        <w:rPr>
          <w:rFonts w:hint="eastAsia" w:ascii="宋体" w:hAnsi="宋体"/>
          <w:color w:val="auto"/>
          <w:szCs w:val="21"/>
          <w:highlight w:val="none"/>
        </w:rPr>
        <w:t>。</w:t>
      </w:r>
    </w:p>
    <w:p w14:paraId="029AA2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.2响应文件</w:t>
      </w:r>
      <w:r>
        <w:rPr>
          <w:rFonts w:hint="eastAsia" w:ascii="宋体" w:hAnsi="宋体"/>
          <w:color w:val="auto"/>
          <w:szCs w:val="21"/>
          <w:highlight w:val="none"/>
          <w:lang w:val="en-US" w:eastAsia="zh-CN"/>
        </w:rPr>
        <w:t>需有公司名称及相关投标项目的名称</w:t>
      </w:r>
      <w:r>
        <w:rPr>
          <w:rFonts w:hint="eastAsia" w:ascii="宋体" w:hAnsi="宋体"/>
          <w:b/>
          <w:color w:val="auto"/>
          <w:szCs w:val="21"/>
          <w:highlight w:val="none"/>
        </w:rPr>
        <w:t>。</w:t>
      </w:r>
    </w:p>
    <w:p w14:paraId="49B54FC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14:paraId="044FF9C1">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w:t>
      </w:r>
      <w:r>
        <w:rPr>
          <w:rFonts w:hint="eastAsia" w:hAnsi="宋体" w:cs="宋体"/>
          <w:color w:val="auto"/>
          <w:kern w:val="0"/>
          <w:highlight w:val="none"/>
        </w:rPr>
        <w:t>供应商在</w:t>
      </w:r>
      <w:r>
        <w:rPr>
          <w:rFonts w:hint="eastAsia" w:hAnsi="宋体"/>
          <w:color w:val="auto"/>
          <w:highlight w:val="none"/>
        </w:rPr>
        <w:t>本章第</w:t>
      </w:r>
      <w:r>
        <w:rPr>
          <w:rFonts w:hint="eastAsia" w:hAnsi="宋体"/>
          <w:color w:val="auto"/>
          <w:highlight w:val="none"/>
          <w:lang w:val="en-US" w:eastAsia="zh-CN"/>
        </w:rPr>
        <w:t>6</w:t>
      </w:r>
      <w:r>
        <w:rPr>
          <w:rFonts w:hint="eastAsia" w:hAnsi="宋体"/>
          <w:color w:val="auto"/>
          <w:highlight w:val="none"/>
        </w:rPr>
        <w:t>.1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cs="宋体"/>
          <w:color w:val="auto"/>
          <w:kern w:val="0"/>
          <w:highlight w:val="none"/>
        </w:rPr>
        <w:t>提交响应文件截止时间前，可以对所提交的响应文件进行补充、修改或者撤回，并书面通知采购人。</w:t>
      </w:r>
      <w:r>
        <w:rPr>
          <w:rFonts w:hint="eastAsia" w:hAnsi="宋体"/>
          <w:color w:val="auto"/>
          <w:highlight w:val="none"/>
        </w:rPr>
        <w:t>该通知应有供应商法定代表人或其委托代理人签字。</w:t>
      </w:r>
    </w:p>
    <w:p w14:paraId="674A4EF2">
      <w:pPr>
        <w:pStyle w:val="1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w:t>
      </w:r>
      <w:r>
        <w:rPr>
          <w:rFonts w:hint="eastAsia" w:hAnsi="宋体" w:cs="宋体"/>
          <w:color w:val="auto"/>
          <w:kern w:val="0"/>
          <w:highlight w:val="none"/>
          <w:lang w:val="zh-CN"/>
        </w:rPr>
        <w:t>补充、修改的内容与响应文件不一致时，以补充、修改的内容为准。</w:t>
      </w:r>
    </w:p>
    <w:p w14:paraId="413F326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14</w:t>
      </w:r>
      <w:r>
        <w:rPr>
          <w:rFonts w:hint="eastAsia" w:ascii="宋体" w:hAnsi="宋体"/>
          <w:b/>
          <w:bCs/>
          <w:color w:val="auto"/>
          <w:szCs w:val="21"/>
          <w:highlight w:val="none"/>
        </w:rPr>
        <w:t>.响应文件的递交与接收</w:t>
      </w:r>
    </w:p>
    <w:p w14:paraId="31D403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14</w:t>
      </w:r>
      <w:r>
        <w:rPr>
          <w:rFonts w:hint="eastAsia" w:ascii="宋体" w:hAnsi="宋体"/>
          <w:color w:val="auto"/>
          <w:szCs w:val="21"/>
          <w:highlight w:val="none"/>
        </w:rPr>
        <w:t>.1 供应商应在</w:t>
      </w:r>
      <w:r>
        <w:rPr>
          <w:rFonts w:hint="eastAsia" w:hAnsi="宋体"/>
          <w:color w:val="auto"/>
          <w:highlight w:val="none"/>
        </w:rPr>
        <w:t>本章第</w:t>
      </w:r>
      <w:r>
        <w:rPr>
          <w:rFonts w:hint="eastAsia" w:ascii="宋体" w:hAnsi="宋体"/>
          <w:color w:val="auto"/>
          <w:highlight w:val="none"/>
          <w:lang w:val="en-US" w:eastAsia="zh-CN"/>
        </w:rPr>
        <w:t>6</w:t>
      </w:r>
      <w:r>
        <w:rPr>
          <w:rFonts w:hint="eastAsia" w:ascii="宋体" w:hAnsi="宋体"/>
          <w:color w:val="auto"/>
          <w:highlight w:val="none"/>
        </w:rPr>
        <w:t>.1</w:t>
      </w:r>
      <w:r>
        <w:rPr>
          <w:rFonts w:hint="eastAsia" w:ascii="宋体" w:hAnsi="宋体" w:cs="宋体"/>
          <w:color w:val="auto"/>
          <w:kern w:val="0"/>
          <w:szCs w:val="21"/>
          <w:highlight w:val="none"/>
          <w:lang w:val="zh-CN"/>
        </w:rPr>
        <w:t>款</w:t>
      </w:r>
      <w:r>
        <w:rPr>
          <w:rFonts w:hint="eastAsia" w:hAnsi="宋体"/>
          <w:color w:val="auto"/>
          <w:highlight w:val="none"/>
        </w:rPr>
        <w:t>规定的</w:t>
      </w:r>
      <w:r>
        <w:rPr>
          <w:rFonts w:hint="eastAsia" w:ascii="宋体" w:hAnsi="宋体" w:cs="宋体"/>
          <w:color w:val="auto"/>
          <w:kern w:val="0"/>
          <w:szCs w:val="21"/>
          <w:highlight w:val="none"/>
        </w:rPr>
        <w:t>提交响应文件截止时间</w:t>
      </w:r>
      <w:r>
        <w:rPr>
          <w:rFonts w:hint="eastAsia" w:ascii="宋体" w:hAnsi="宋体"/>
          <w:color w:val="auto"/>
          <w:szCs w:val="21"/>
          <w:highlight w:val="none"/>
        </w:rPr>
        <w:t>前，将响应文件</w:t>
      </w:r>
      <w:r>
        <w:rPr>
          <w:rFonts w:hint="eastAsia" w:ascii="宋体" w:hAnsi="宋体"/>
          <w:color w:val="auto"/>
          <w:szCs w:val="21"/>
          <w:highlight w:val="none"/>
          <w:lang w:eastAsia="zh-CN"/>
        </w:rPr>
        <w:t>递交至</w:t>
      </w:r>
      <w:r>
        <w:rPr>
          <w:rFonts w:hint="eastAsia" w:ascii="宋体" w:hAnsi="宋体"/>
          <w:b/>
          <w:color w:val="auto"/>
          <w:szCs w:val="21"/>
          <w:highlight w:val="none"/>
          <w:lang w:eastAsia="zh-CN"/>
        </w:rPr>
        <w:t>竞谈</w:t>
      </w:r>
      <w:r>
        <w:rPr>
          <w:rFonts w:hint="eastAsia" w:ascii="宋体" w:hAnsi="宋体"/>
          <w:b/>
          <w:color w:val="auto"/>
          <w:szCs w:val="21"/>
          <w:highlight w:val="none"/>
        </w:rPr>
        <w:t>须知前附表</w:t>
      </w:r>
      <w:r>
        <w:rPr>
          <w:rFonts w:hint="eastAsia" w:ascii="宋体" w:hAnsi="宋体"/>
          <w:color w:val="auto"/>
          <w:szCs w:val="21"/>
          <w:highlight w:val="none"/>
        </w:rPr>
        <w:t>中指定的</w:t>
      </w:r>
      <w:r>
        <w:rPr>
          <w:rFonts w:hint="eastAsia" w:ascii="宋体" w:hAnsi="宋体"/>
          <w:color w:val="auto"/>
          <w:szCs w:val="21"/>
          <w:highlight w:val="none"/>
          <w:lang w:eastAsia="zh-CN"/>
        </w:rPr>
        <w:t>地点</w:t>
      </w:r>
      <w:r>
        <w:rPr>
          <w:rFonts w:hint="eastAsia" w:ascii="宋体" w:hAnsi="宋体"/>
          <w:color w:val="auto"/>
          <w:szCs w:val="21"/>
          <w:highlight w:val="none"/>
        </w:rPr>
        <w:t>。</w:t>
      </w:r>
      <w:r>
        <w:rPr>
          <w:rFonts w:hint="eastAsia" w:hAnsi="宋体" w:cs="宋体"/>
          <w:color w:val="auto"/>
          <w:kern w:val="0"/>
          <w:highlight w:val="none"/>
        </w:rPr>
        <w:t>在</w:t>
      </w:r>
      <w:r>
        <w:rPr>
          <w:rFonts w:hint="eastAsia" w:hAnsi="宋体" w:cs="宋体"/>
          <w:kern w:val="0"/>
        </w:rPr>
        <w:t>截止时间后送达的响应文件，采购人应当拒收</w:t>
      </w:r>
      <w:r>
        <w:rPr>
          <w:rFonts w:hint="eastAsia" w:hAnsi="宋体" w:cs="宋体"/>
          <w:color w:val="auto"/>
          <w:kern w:val="0"/>
          <w:highlight w:val="none"/>
        </w:rPr>
        <w:t>。</w:t>
      </w:r>
    </w:p>
    <w:p w14:paraId="35A06C4D">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五、开标和评审</w:t>
      </w:r>
    </w:p>
    <w:p w14:paraId="230D71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.开标</w:t>
      </w:r>
    </w:p>
    <w:p w14:paraId="2272D3CE">
      <w:pPr>
        <w:tabs>
          <w:tab w:val="left" w:pos="570"/>
          <w:tab w:val="left" w:pos="7560"/>
          <w:tab w:val="left" w:pos="7740"/>
          <w:tab w:val="left" w:pos="8280"/>
        </w:tabs>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.1采购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在提交响应文件的截止时间(开标时间)和</w:t>
      </w:r>
      <w:r>
        <w:rPr>
          <w:rFonts w:hint="eastAsia" w:ascii="宋体" w:hAnsi="宋体" w:cs="宋体"/>
          <w:color w:val="auto"/>
          <w:szCs w:val="21"/>
          <w:highlight w:val="none"/>
          <w:lang w:eastAsia="zh-CN"/>
        </w:rPr>
        <w:t>招采系统将自动进行</w:t>
      </w:r>
      <w:r>
        <w:rPr>
          <w:rFonts w:hint="eastAsia" w:ascii="宋体" w:hAnsi="宋体" w:cs="宋体"/>
          <w:color w:val="auto"/>
          <w:szCs w:val="21"/>
          <w:highlight w:val="none"/>
        </w:rPr>
        <w:t>开标。</w:t>
      </w:r>
      <w:r>
        <w:rPr>
          <w:rFonts w:hint="eastAsia" w:ascii="宋体" w:hAnsi="宋体" w:cs="宋体"/>
          <w:b/>
          <w:bCs/>
          <w:color w:val="auto"/>
          <w:szCs w:val="21"/>
          <w:highlight w:val="none"/>
        </w:rPr>
        <w:t>参加开标的供应商代表应持法定代表人授权书和本人身份证原件（法定代表人参加开标的应持法定代表人证明及身份证原件）签名以证明其出席，否则，视为无效响应。</w:t>
      </w:r>
    </w:p>
    <w:p w14:paraId="37E14E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在采购人选定中标方式为最低价中标时，评审小组会根据所有投标文件进行比对，最后由专家组选定投标报价为最低价的供应商中标，且</w:t>
      </w:r>
      <w:r>
        <w:rPr>
          <w:rFonts w:hint="eastAsia" w:ascii="宋体" w:hAnsi="宋体" w:cs="宋体"/>
          <w:color w:val="auto"/>
          <w:szCs w:val="21"/>
          <w:highlight w:val="none"/>
        </w:rPr>
        <w:t>记录在案。</w:t>
      </w:r>
    </w:p>
    <w:p w14:paraId="647E3FE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.评审小组</w:t>
      </w:r>
    </w:p>
    <w:p w14:paraId="7F46F2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w:t>
      </w:r>
      <w:r>
        <w:rPr>
          <w:rFonts w:hint="eastAsia" w:ascii="宋体" w:hAnsi="宋体" w:cs="宋体"/>
          <w:color w:val="auto"/>
          <w:szCs w:val="21"/>
          <w:highlight w:val="none"/>
          <w:lang w:eastAsia="zh-CN"/>
        </w:rPr>
        <w:t>评审小组由集团专家库</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公司相关专业人员摇号组成评审小组。受支部纪检委员监督。</w:t>
      </w:r>
    </w:p>
    <w:p w14:paraId="07658C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评审小组负责具体评标事务，并独立履行下列职责：</w:t>
      </w:r>
    </w:p>
    <w:p w14:paraId="02B54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（1）审查、评价响应文件是否符合采购文件的商务、技术等实质性要求；</w:t>
      </w:r>
    </w:p>
    <w:p w14:paraId="2522ACE3">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（2）要求供应商对响应文件有关事项作出澄清或者说明；</w:t>
      </w:r>
    </w:p>
    <w:p w14:paraId="519DA779">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（3）对响应文件进行比较和评价；</w:t>
      </w:r>
    </w:p>
    <w:p w14:paraId="0BCA9A0C">
      <w:pPr>
        <w:keepNext w:val="0"/>
        <w:keepLines w:val="0"/>
        <w:pageBreakBefore w:val="0"/>
        <w:kinsoku/>
        <w:wordWrap/>
        <w:overflowPunct/>
        <w:topLinePunct w:val="0"/>
        <w:autoSpaceDE/>
        <w:bidi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（4）确定成交候选人名单，以及根据采购人委托直接确定成交供应商；</w:t>
      </w:r>
    </w:p>
    <w:p w14:paraId="3666B4B3">
      <w:pPr>
        <w:keepNext w:val="0"/>
        <w:keepLines w:val="0"/>
        <w:pageBreakBefore w:val="0"/>
        <w:kinsoku/>
        <w:wordWrap/>
        <w:overflowPunct/>
        <w:topLinePunct w:val="0"/>
        <w:autoSpaceDE/>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（5）向采购人或者有关部门报告评审中发现的违法行为。</w:t>
      </w:r>
    </w:p>
    <w:p w14:paraId="75F4A745">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Ansi="宋体" w:cs="宋体"/>
          <w:b/>
          <w:bCs/>
          <w:color w:val="auto"/>
          <w:highlight w:val="none"/>
        </w:rPr>
      </w:pPr>
      <w:r>
        <w:rPr>
          <w:rFonts w:hint="eastAsia" w:hAnsi="宋体" w:cs="宋体"/>
          <w:b/>
          <w:bCs/>
          <w:color w:val="auto"/>
          <w:highlight w:val="none"/>
          <w:lang w:val="en-US" w:eastAsia="zh-CN"/>
        </w:rPr>
        <w:t>17</w:t>
      </w:r>
      <w:r>
        <w:rPr>
          <w:rFonts w:hint="eastAsia" w:hAnsi="宋体" w:cs="宋体"/>
          <w:b/>
          <w:bCs/>
          <w:color w:val="auto"/>
          <w:highlight w:val="none"/>
        </w:rPr>
        <w:t>.评审</w:t>
      </w:r>
    </w:p>
    <w:p w14:paraId="78ED01EA">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olor w:val="auto"/>
          <w:highlight w:val="none"/>
        </w:rPr>
      </w:pPr>
      <w:r>
        <w:rPr>
          <w:rFonts w:hint="eastAsia" w:hAnsi="宋体" w:cs="宋体"/>
          <w:color w:val="auto"/>
          <w:highlight w:val="none"/>
          <w:lang w:val="en-US" w:eastAsia="zh-CN"/>
        </w:rPr>
        <w:t>17</w:t>
      </w:r>
      <w:r>
        <w:rPr>
          <w:rFonts w:hint="eastAsia" w:hAnsi="宋体" w:cs="宋体"/>
          <w:color w:val="auto"/>
          <w:highlight w:val="none"/>
        </w:rPr>
        <w:t>.1 评审小组按照</w:t>
      </w:r>
      <w:r>
        <w:rPr>
          <w:rFonts w:hint="eastAsia" w:hAnsi="宋体" w:cs="宋体"/>
          <w:bCs/>
          <w:color w:val="auto"/>
          <w:highlight w:val="none"/>
        </w:rPr>
        <w:t>第</w:t>
      </w:r>
      <w:r>
        <w:rPr>
          <w:rFonts w:hint="eastAsia" w:hAnsi="宋体" w:cs="宋体"/>
          <w:bCs/>
          <w:color w:val="auto"/>
          <w:highlight w:val="none"/>
          <w:lang w:eastAsia="zh-CN"/>
        </w:rPr>
        <w:t>三</w:t>
      </w:r>
      <w:r>
        <w:rPr>
          <w:rFonts w:hint="eastAsia" w:hAnsi="宋体" w:cs="宋体"/>
          <w:bCs/>
          <w:color w:val="auto"/>
          <w:highlight w:val="none"/>
        </w:rPr>
        <w:t>章“评审办法”</w:t>
      </w:r>
      <w:r>
        <w:rPr>
          <w:rFonts w:hint="eastAsia" w:hAnsi="宋体" w:cs="宋体"/>
          <w:color w:val="auto"/>
          <w:highlight w:val="none"/>
        </w:rPr>
        <w:t xml:space="preserve"> 规定的评审方法、评审因素、标准和程序以及有关法律、法规及规章对响应文件进行评审。</w:t>
      </w:r>
    </w:p>
    <w:p w14:paraId="1423383B">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六、成交结果信息公布</w:t>
      </w:r>
    </w:p>
    <w:p w14:paraId="4284AE9B">
      <w:pPr>
        <w:keepNext w:val="0"/>
        <w:keepLines w:val="0"/>
        <w:pageBreakBefore w:val="0"/>
        <w:widowControl w:val="0"/>
        <w:kinsoku/>
        <w:wordWrap/>
        <w:overflowPunct/>
        <w:topLinePunct w:val="0"/>
        <w:autoSpaceDE/>
        <w:bidi w:val="0"/>
        <w:spacing w:line="360" w:lineRule="auto"/>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.成交信息公布</w:t>
      </w:r>
    </w:p>
    <w:p w14:paraId="77CBAA4A">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采购人在评审报告确定的成交候选人名单中按顺序确定成交供应商。</w:t>
      </w:r>
    </w:p>
    <w:p w14:paraId="48B54EFE">
      <w:pPr>
        <w:keepNext w:val="0"/>
        <w:keepLines w:val="0"/>
        <w:pageBreakBefore w:val="0"/>
        <w:widowControl w:val="0"/>
        <w:kinsoku/>
        <w:wordWrap/>
        <w:overflowPunct/>
        <w:topLinePunct w:val="0"/>
        <w:autoSpaceDE/>
        <w:bidi w:val="0"/>
        <w:spacing w:line="360" w:lineRule="auto"/>
        <w:ind w:firstLine="420" w:firstLineChars="200"/>
        <w:jc w:val="left"/>
        <w:textAlignment w:val="auto"/>
        <w:rPr>
          <w:rFonts w:ascii="宋体" w:hAnsi="宋体"/>
          <w:b/>
          <w:bCs/>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应当自确定成交供应商之日起2日内，发出成交通知书。</w:t>
      </w:r>
    </w:p>
    <w:p w14:paraId="12D94C56">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lang w:val="en-US" w:eastAsia="zh-CN"/>
        </w:rPr>
        <w:t>19</w:t>
      </w:r>
      <w:r>
        <w:rPr>
          <w:rFonts w:hint="eastAsia" w:ascii="宋体" w:hAnsi="宋体"/>
          <w:b/>
          <w:bCs/>
          <w:color w:val="auto"/>
          <w:szCs w:val="21"/>
          <w:highlight w:val="none"/>
        </w:rPr>
        <w:t>.成交结果确认和成交通知</w:t>
      </w:r>
    </w:p>
    <w:p w14:paraId="7C9DD258">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lang w:val="en-US" w:eastAsia="zh-CN"/>
        </w:rPr>
        <w:t>19</w:t>
      </w:r>
      <w:r>
        <w:rPr>
          <w:rFonts w:hint="eastAsia" w:hAnsi="宋体"/>
          <w:color w:val="auto"/>
          <w:highlight w:val="none"/>
        </w:rPr>
        <w:t>.1采购人应当在本章第1</w:t>
      </w:r>
      <w:r>
        <w:rPr>
          <w:rFonts w:hint="eastAsia" w:hAnsi="宋体"/>
          <w:color w:val="auto"/>
          <w:highlight w:val="none"/>
          <w:lang w:val="en-US" w:eastAsia="zh-CN"/>
        </w:rPr>
        <w:t>0</w:t>
      </w:r>
      <w:r>
        <w:rPr>
          <w:rFonts w:hint="eastAsia" w:hAnsi="宋体"/>
          <w:color w:val="auto"/>
          <w:highlight w:val="none"/>
        </w:rPr>
        <w:t>.1款规定的响应文件有效期内，并以书面形式向成交供应商发出成交通知书。成交通知书对采购人和成交供应商具有同等法律效力。</w:t>
      </w:r>
    </w:p>
    <w:p w14:paraId="361210B9">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lang w:val="en-US" w:eastAsia="zh-CN"/>
        </w:rPr>
        <w:t>19</w:t>
      </w:r>
      <w:r>
        <w:rPr>
          <w:rFonts w:hint="eastAsia" w:hAnsi="宋体"/>
          <w:color w:val="auto"/>
          <w:highlight w:val="none"/>
        </w:rPr>
        <w:t>.2 成交通知书是合同文件的组成部分。</w:t>
      </w:r>
    </w:p>
    <w:p w14:paraId="409D74F9">
      <w:pPr>
        <w:keepNext w:val="0"/>
        <w:keepLines w:val="0"/>
        <w:pageBreakBefore w:val="0"/>
        <w:widowControl w:val="0"/>
        <w:tabs>
          <w:tab w:val="left" w:pos="7560"/>
          <w:tab w:val="left" w:pos="7740"/>
          <w:tab w:val="left" w:pos="7920"/>
        </w:tabs>
        <w:kinsoku/>
        <w:wordWrap/>
        <w:overflowPunct/>
        <w:topLinePunct w:val="0"/>
        <w:autoSpaceDE/>
        <w:autoSpaceDN w:val="0"/>
        <w:bidi w:val="0"/>
        <w:adjustRightInd w:val="0"/>
        <w:snapToGrid w:val="0"/>
        <w:spacing w:line="360" w:lineRule="auto"/>
        <w:ind w:firstLine="420" w:firstLineChars="200"/>
        <w:textAlignment w:val="auto"/>
        <w:rPr>
          <w:rFonts w:hint="eastAsia" w:hAnsi="宋体"/>
          <w:color w:val="auto"/>
          <w:highlight w:val="none"/>
        </w:rPr>
      </w:pP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 xml:space="preserve">.3 </w:t>
      </w:r>
      <w:r>
        <w:rPr>
          <w:rFonts w:hint="eastAsia" w:ascii="宋体" w:hAnsi="宋体"/>
          <w:color w:val="auto"/>
          <w:szCs w:val="21"/>
          <w:highlight w:val="none"/>
        </w:rPr>
        <w:t>成交供应商在收到成交通知书后10日内，应按照</w:t>
      </w:r>
      <w:r>
        <w:rPr>
          <w:rFonts w:hint="eastAsia" w:ascii="宋体" w:hAnsi="宋体"/>
          <w:b/>
          <w:color w:val="auto"/>
          <w:szCs w:val="21"/>
          <w:highlight w:val="none"/>
          <w:lang w:eastAsia="zh-CN"/>
        </w:rPr>
        <w:t>竞谈须知</w:t>
      </w:r>
      <w:r>
        <w:rPr>
          <w:rFonts w:hint="eastAsia" w:ascii="宋体" w:hAnsi="宋体"/>
          <w:b/>
          <w:color w:val="auto"/>
          <w:szCs w:val="21"/>
          <w:highlight w:val="none"/>
        </w:rPr>
        <w:t>前附表</w:t>
      </w:r>
      <w:r>
        <w:rPr>
          <w:rFonts w:hint="eastAsia" w:ascii="宋体" w:hAnsi="宋体"/>
          <w:color w:val="auto"/>
          <w:szCs w:val="21"/>
          <w:highlight w:val="none"/>
        </w:rPr>
        <w:t>的规定，向采购人提交履约担保</w:t>
      </w:r>
      <w:r>
        <w:rPr>
          <w:rFonts w:hint="eastAsia" w:ascii="宋体" w:hAnsi="宋体"/>
          <w:color w:val="auto"/>
          <w:szCs w:val="21"/>
          <w:highlight w:val="none"/>
          <w:lang w:eastAsia="zh-CN"/>
        </w:rPr>
        <w:t>（如有）</w:t>
      </w:r>
      <w:r>
        <w:rPr>
          <w:rFonts w:hint="eastAsia" w:ascii="宋体" w:hAnsi="宋体"/>
          <w:color w:val="auto"/>
          <w:szCs w:val="21"/>
          <w:highlight w:val="none"/>
        </w:rPr>
        <w:t>。</w:t>
      </w:r>
    </w:p>
    <w:p w14:paraId="6EA8C940">
      <w:pPr>
        <w:keepNext w:val="0"/>
        <w:keepLines w:val="0"/>
        <w:pageBreakBefore w:val="0"/>
        <w:widowControl w:val="0"/>
        <w:kinsoku/>
        <w:wordWrap/>
        <w:overflowPunct/>
        <w:topLinePunct w:val="0"/>
        <w:autoSpaceDE/>
        <w:bidi w:val="0"/>
        <w:adjustRightInd w:val="0"/>
        <w:snapToGri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0</w:t>
      </w:r>
      <w:r>
        <w:rPr>
          <w:rFonts w:hint="eastAsia" w:ascii="宋体" w:hAnsi="宋体"/>
          <w:b/>
          <w:bCs/>
          <w:color w:val="auto"/>
          <w:szCs w:val="21"/>
          <w:highlight w:val="none"/>
        </w:rPr>
        <w:t>.签订合同</w:t>
      </w:r>
    </w:p>
    <w:p w14:paraId="41B19F65">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.1 采购文件、成交供应商的响应文件及其补充的响应文件等均为签订采购合同的依据。</w:t>
      </w:r>
    </w:p>
    <w:p w14:paraId="31FEBFA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.2 成交供应商应当在成交通知书发出之日起</w:t>
      </w:r>
      <w:r>
        <w:rPr>
          <w:rFonts w:hint="eastAsia" w:hAnsi="宋体"/>
          <w:color w:val="auto"/>
          <w:highlight w:val="none"/>
          <w:lang w:val="en-US" w:eastAsia="zh-CN"/>
        </w:rPr>
        <w:t>10</w:t>
      </w:r>
      <w:r>
        <w:rPr>
          <w:rFonts w:hint="eastAsia" w:hAnsi="宋体"/>
          <w:color w:val="auto"/>
          <w:highlight w:val="none"/>
        </w:rPr>
        <w:t>日内与采购人签订采购合同。</w:t>
      </w:r>
    </w:p>
    <w:p w14:paraId="4792720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.3 成交供应商应当按照合同约定履行义务。成交供应商不得向他人转让成交项目，也不得将成交项目分包后分别向他人转让。</w:t>
      </w:r>
    </w:p>
    <w:p w14:paraId="5B110E7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0</w:t>
      </w:r>
      <w:r>
        <w:rPr>
          <w:rFonts w:hint="eastAsia" w:hAnsi="宋体"/>
          <w:color w:val="auto"/>
          <w:highlight w:val="none"/>
        </w:rPr>
        <w:t>.4 成交供应商有下列情形之一的，责令限期改正，情节严重的，列入不良行为记录名单，在1至3年内禁止参加采购人组织的采购活动，并予以通报：</w:t>
      </w:r>
    </w:p>
    <w:p w14:paraId="6CDE269F">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（一）成交后无正当理由不与采购人签订合同的；</w:t>
      </w:r>
    </w:p>
    <w:p w14:paraId="561D4AC4">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olor w:val="auto"/>
          <w:highlight w:val="none"/>
        </w:rPr>
      </w:pPr>
      <w:r>
        <w:rPr>
          <w:rFonts w:hint="eastAsia" w:hAnsi="宋体"/>
          <w:color w:val="auto"/>
          <w:highlight w:val="none"/>
        </w:rPr>
        <w:t>（二）未按照采购文件确定的事项签订采购合同；</w:t>
      </w:r>
    </w:p>
    <w:p w14:paraId="26A60BAD">
      <w:pPr>
        <w:pStyle w:val="13"/>
        <w:keepNext w:val="0"/>
        <w:keepLines w:val="0"/>
        <w:pageBreakBefore w:val="0"/>
        <w:widowControl w:val="0"/>
        <w:kinsoku/>
        <w:wordWrap/>
        <w:overflowPunct/>
        <w:topLinePunct w:val="0"/>
        <w:autoSpaceDE/>
        <w:bidi w:val="0"/>
        <w:adjustRightInd w:val="0"/>
        <w:snapToGrid w:val="0"/>
        <w:spacing w:line="360" w:lineRule="auto"/>
        <w:ind w:firstLine="420" w:firstLineChars="200"/>
        <w:textAlignment w:val="auto"/>
        <w:rPr>
          <w:rFonts w:hAnsi="宋体" w:cs="宋体"/>
          <w:color w:val="auto"/>
          <w:kern w:val="0"/>
          <w:highlight w:val="none"/>
        </w:rPr>
      </w:pPr>
      <w:r>
        <w:rPr>
          <w:rFonts w:hint="eastAsia" w:hAnsi="宋体"/>
          <w:color w:val="auto"/>
          <w:highlight w:val="none"/>
        </w:rPr>
        <w:t>（三）拒绝履行合同义务的</w:t>
      </w:r>
      <w:r>
        <w:rPr>
          <w:rFonts w:hint="eastAsia" w:hAnsi="宋体" w:cs="宋体"/>
          <w:color w:val="auto"/>
          <w:kern w:val="0"/>
          <w:highlight w:val="none"/>
        </w:rPr>
        <w:t>。</w:t>
      </w:r>
    </w:p>
    <w:p w14:paraId="58BAC37F">
      <w:pPr>
        <w:keepNext w:val="0"/>
        <w:keepLines w:val="0"/>
        <w:pageBreakBefore w:val="0"/>
        <w:kinsoku/>
        <w:wordWrap/>
        <w:overflowPunct/>
        <w:topLinePunct w:val="0"/>
        <w:autoSpaceDE/>
        <w:bidi w:val="0"/>
        <w:adjustRightInd w:val="0"/>
        <w:snapToGrid w:val="0"/>
        <w:spacing w:line="360" w:lineRule="auto"/>
        <w:textAlignment w:val="auto"/>
        <w:rPr>
          <w:rFonts w:ascii="黑体" w:hAnsi="宋体" w:eastAsia="黑体"/>
          <w:color w:val="auto"/>
          <w:sz w:val="24"/>
          <w:highlight w:val="none"/>
        </w:rPr>
      </w:pPr>
      <w:r>
        <w:rPr>
          <w:rFonts w:hint="eastAsia" w:ascii="黑体" w:hAnsi="宋体" w:eastAsia="黑体"/>
          <w:color w:val="auto"/>
          <w:sz w:val="24"/>
          <w:highlight w:val="none"/>
        </w:rPr>
        <w:t>七、其他规定</w:t>
      </w:r>
    </w:p>
    <w:p w14:paraId="529BB99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2" w:firstLineChars="200"/>
        <w:textAlignment w:val="auto"/>
        <w:rPr>
          <w:rFonts w:hAnsi="宋体"/>
          <w:b/>
          <w:color w:val="auto"/>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hAnsi="宋体"/>
          <w:b/>
          <w:color w:val="auto"/>
          <w:highlight w:val="none"/>
        </w:rPr>
        <w:t>其他规定</w:t>
      </w:r>
    </w:p>
    <w:p w14:paraId="774D3F18">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20" w:firstLineChars="200"/>
        <w:textAlignment w:val="auto"/>
        <w:rPr>
          <w:rFonts w:hint="eastAsia" w:ascii="宋体" w:hAnsi="宋体"/>
          <w:color w:val="auto"/>
          <w:szCs w:val="21"/>
          <w:highlight w:val="none"/>
        </w:rPr>
        <w:sectPr>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.1采购文件的其他规定见</w:t>
      </w:r>
      <w:r>
        <w:rPr>
          <w:rFonts w:hint="eastAsia" w:ascii="宋体" w:hAnsi="宋体"/>
          <w:b/>
          <w:bCs/>
          <w:color w:val="auto"/>
          <w:szCs w:val="21"/>
          <w:highlight w:val="none"/>
          <w:lang w:eastAsia="zh-CN"/>
        </w:rPr>
        <w:t>竞谈须知</w:t>
      </w:r>
      <w:r>
        <w:rPr>
          <w:rFonts w:hint="eastAsia" w:ascii="宋体" w:hAnsi="宋体"/>
          <w:b/>
          <w:bCs/>
          <w:color w:val="auto"/>
          <w:szCs w:val="21"/>
          <w:highlight w:val="none"/>
        </w:rPr>
        <w:t>前附表</w:t>
      </w:r>
      <w:r>
        <w:rPr>
          <w:rFonts w:hint="eastAsia" w:ascii="宋体" w:hAnsi="宋体"/>
          <w:color w:val="auto"/>
          <w:szCs w:val="21"/>
          <w:highlight w:val="none"/>
        </w:rPr>
        <w:t>。</w:t>
      </w:r>
    </w:p>
    <w:p w14:paraId="0AE69DE7">
      <w:pPr>
        <w:jc w:val="center"/>
        <w:rPr>
          <w:rFonts w:ascii="黑体" w:eastAsia="黑体"/>
          <w:b/>
          <w:bCs/>
          <w:color w:val="auto"/>
          <w:sz w:val="28"/>
          <w:szCs w:val="28"/>
          <w:highlight w:val="none"/>
        </w:rPr>
      </w:pPr>
      <w:r>
        <w:rPr>
          <w:rFonts w:hint="eastAsia" w:ascii="宋体" w:hAnsi="宋体" w:cs="宋体"/>
          <w:b/>
          <w:bCs/>
          <w:color w:val="auto"/>
          <w:sz w:val="32"/>
          <w:szCs w:val="32"/>
          <w:highlight w:val="none"/>
        </w:rPr>
        <w:t>第三章  评审办法</w:t>
      </w:r>
    </w:p>
    <w:p w14:paraId="0C4A0E1E">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一. </w:t>
      </w:r>
      <w:r>
        <w:rPr>
          <w:rFonts w:hint="eastAsia" w:ascii="宋体" w:hAnsi="宋体"/>
          <w:b/>
          <w:color w:val="auto"/>
          <w:szCs w:val="21"/>
          <w:highlight w:val="none"/>
        </w:rPr>
        <w:t>总则</w:t>
      </w:r>
    </w:p>
    <w:p w14:paraId="27352012">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color w:val="auto"/>
          <w:szCs w:val="21"/>
          <w:highlight w:val="none"/>
        </w:rPr>
        <w:t>1.1评审小组</w:t>
      </w:r>
    </w:p>
    <w:p w14:paraId="4123F21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1.1.1</w:t>
      </w:r>
      <w:r>
        <w:rPr>
          <w:rFonts w:hint="eastAsia" w:ascii="宋体" w:hAnsi="宋体" w:cs="宋体"/>
          <w:color w:val="auto"/>
          <w:szCs w:val="21"/>
          <w:highlight w:val="none"/>
        </w:rPr>
        <w:t>评审工作由采购人依法组建的评审小组负责</w:t>
      </w:r>
      <w:r>
        <w:rPr>
          <w:rFonts w:hint="eastAsia" w:ascii="宋体" w:hAnsi="宋体" w:cs="宋体"/>
          <w:color w:val="auto"/>
          <w:szCs w:val="21"/>
          <w:highlight w:val="none"/>
          <w:lang w:eastAsia="zh-CN"/>
        </w:rPr>
        <w:t>，评审小组由集团专家库，公司相关专业人员摇号组成评审小组。受纪检</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eastAsia="zh-CN"/>
        </w:rPr>
        <w:t>监督。</w:t>
      </w:r>
    </w:p>
    <w:p w14:paraId="570B32F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color w:val="auto"/>
          <w:szCs w:val="21"/>
          <w:highlight w:val="none"/>
        </w:rPr>
      </w:pPr>
      <w:r>
        <w:rPr>
          <w:rFonts w:hint="eastAsia" w:ascii="宋体" w:hAnsi="宋体"/>
          <w:b/>
          <w:bCs/>
          <w:color w:val="auto"/>
          <w:szCs w:val="21"/>
          <w:highlight w:val="none"/>
        </w:rPr>
        <w:t xml:space="preserve">1.2 </w:t>
      </w:r>
      <w:r>
        <w:rPr>
          <w:rFonts w:hint="eastAsia" w:ascii="宋体" w:hAnsi="宋体"/>
          <w:b/>
          <w:color w:val="auto"/>
          <w:szCs w:val="21"/>
          <w:highlight w:val="none"/>
        </w:rPr>
        <w:t>评审方法</w:t>
      </w:r>
    </w:p>
    <w:p w14:paraId="7E8B9EC6">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rPr>
        <w:t>1.2.1评审方法：</w:t>
      </w:r>
      <w:r>
        <w:rPr>
          <w:rFonts w:hint="eastAsia" w:ascii="宋体" w:hAnsi="宋体"/>
          <w:b/>
          <w:bCs/>
          <w:color w:val="auto"/>
          <w:szCs w:val="21"/>
          <w:highlight w:val="none"/>
          <w:lang w:eastAsia="zh-CN"/>
        </w:rPr>
        <w:t>最低投标</w:t>
      </w:r>
      <w:r>
        <w:rPr>
          <w:rFonts w:hint="eastAsia" w:ascii="宋体" w:hAnsi="宋体"/>
          <w:b/>
          <w:bCs/>
          <w:color w:val="auto"/>
          <w:szCs w:val="21"/>
          <w:highlight w:val="none"/>
        </w:rPr>
        <w:t>价法，</w:t>
      </w:r>
      <w:r>
        <w:rPr>
          <w:rFonts w:hint="eastAsia" w:ascii="宋体" w:hAnsi="宋体" w:cs="宋体"/>
          <w:b/>
          <w:bCs/>
          <w:color w:val="auto"/>
          <w:szCs w:val="21"/>
          <w:highlight w:val="none"/>
        </w:rPr>
        <w:t>指响应文件满足</w:t>
      </w:r>
      <w:r>
        <w:rPr>
          <w:rFonts w:hint="eastAsia" w:ascii="宋体" w:hAnsi="宋体" w:cs="宋体"/>
          <w:b/>
          <w:bCs/>
          <w:color w:val="auto"/>
          <w:szCs w:val="21"/>
          <w:highlight w:val="none"/>
          <w:lang w:eastAsia="zh-CN"/>
        </w:rPr>
        <w:t>采购</w:t>
      </w:r>
      <w:r>
        <w:rPr>
          <w:rFonts w:hint="eastAsia" w:ascii="宋体" w:hAnsi="宋体" w:cs="宋体"/>
          <w:b/>
          <w:bCs/>
          <w:color w:val="auto"/>
          <w:szCs w:val="21"/>
          <w:highlight w:val="none"/>
        </w:rPr>
        <w:t>文件全部实质性要求，且报价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二次报</w:t>
      </w:r>
      <w:bookmarkStart w:id="3" w:name="_GoBack"/>
      <w:bookmarkEnd w:id="3"/>
      <w:r>
        <w:rPr>
          <w:rFonts w:hint="eastAsia" w:ascii="宋体" w:hAnsi="宋体" w:cs="宋体"/>
          <w:b/>
          <w:bCs/>
          <w:color w:val="auto"/>
          <w:szCs w:val="21"/>
          <w:highlight w:val="none"/>
          <w:lang w:val="en-US" w:eastAsia="zh-CN"/>
        </w:rPr>
        <w:t>价</w:t>
      </w:r>
      <w:r>
        <w:rPr>
          <w:rFonts w:hint="eastAsia" w:ascii="宋体" w:hAnsi="宋体" w:cs="宋体"/>
          <w:b/>
          <w:bCs/>
          <w:color w:val="auto"/>
          <w:szCs w:val="21"/>
          <w:highlight w:val="none"/>
          <w:lang w:eastAsia="zh-CN"/>
        </w:rPr>
        <w:t>）最低</w:t>
      </w:r>
      <w:r>
        <w:rPr>
          <w:rFonts w:hint="eastAsia" w:ascii="宋体" w:hAnsi="宋体" w:cs="宋体"/>
          <w:b/>
          <w:bCs/>
          <w:color w:val="auto"/>
          <w:szCs w:val="21"/>
          <w:highlight w:val="none"/>
        </w:rPr>
        <w:t>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为成交</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候选人的评审方法</w:t>
      </w:r>
      <w:r>
        <w:rPr>
          <w:rFonts w:hint="eastAsia" w:ascii="宋体" w:hAnsi="宋体" w:cs="宋体"/>
          <w:color w:val="auto"/>
          <w:szCs w:val="21"/>
          <w:highlight w:val="none"/>
        </w:rPr>
        <w:t>。</w:t>
      </w:r>
    </w:p>
    <w:p w14:paraId="2AC4970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color w:val="auto"/>
          <w:kern w:val="0"/>
          <w:szCs w:val="21"/>
          <w:highlight w:val="none"/>
        </w:rPr>
      </w:pPr>
      <w:r>
        <w:rPr>
          <w:rFonts w:hint="eastAsia" w:ascii="宋体" w:hAnsi="宋体"/>
          <w:b/>
          <w:color w:val="auto"/>
          <w:kern w:val="0"/>
          <w:szCs w:val="21"/>
          <w:highlight w:val="none"/>
        </w:rPr>
        <w:t>二. 评标程序</w:t>
      </w:r>
    </w:p>
    <w:p w14:paraId="6F0CAB4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
          <w:color w:val="auto"/>
          <w:szCs w:val="21"/>
          <w:highlight w:val="none"/>
        </w:rPr>
      </w:pPr>
      <w:r>
        <w:rPr>
          <w:rFonts w:hint="eastAsia" w:ascii="宋体" w:hAnsi="宋体"/>
          <w:color w:val="auto"/>
          <w:kern w:val="0"/>
          <w:szCs w:val="21"/>
          <w:highlight w:val="none"/>
        </w:rPr>
        <w:t>评标程序分为响应文件初审、比较和评价、推荐成交供应商候选人名单</w:t>
      </w:r>
      <w:r>
        <w:rPr>
          <w:rFonts w:hint="eastAsia" w:ascii="宋体" w:hAnsi="宋体"/>
          <w:b/>
          <w:color w:val="auto"/>
          <w:szCs w:val="21"/>
          <w:highlight w:val="none"/>
        </w:rPr>
        <w:t>。</w:t>
      </w:r>
    </w:p>
    <w:p w14:paraId="1BCB2B04">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2.1 响应文件的初步</w:t>
      </w:r>
      <w:r>
        <w:rPr>
          <w:rFonts w:hint="eastAsia" w:ascii="宋体" w:hAnsi="宋体"/>
          <w:b/>
          <w:color w:val="auto"/>
          <w:szCs w:val="21"/>
          <w:highlight w:val="none"/>
        </w:rPr>
        <w:t>评审</w:t>
      </w:r>
    </w:p>
    <w:p w14:paraId="7AA403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bCs/>
          <w:color w:val="auto"/>
          <w:szCs w:val="21"/>
          <w:highlight w:val="none"/>
        </w:rPr>
        <w:t>2.1.1初步</w:t>
      </w:r>
      <w:r>
        <w:rPr>
          <w:rFonts w:hint="eastAsia" w:ascii="宋体" w:hAnsi="宋体"/>
          <w:color w:val="auto"/>
          <w:szCs w:val="21"/>
          <w:highlight w:val="none"/>
        </w:rPr>
        <w:t>评审分为资格性检查和符合性检查。</w:t>
      </w:r>
    </w:p>
    <w:p w14:paraId="32CC506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 资格性检查。根据法律法规和采购文件的规定，对响应文件中的资格证明等进行审查，以确定供应商是否具备投标资格。</w:t>
      </w:r>
    </w:p>
    <w:p w14:paraId="6960F4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 符合性检查。依据采购文件的规定，从响应文件的有效性、完整性和对采购文件的响应程度进行审查，以确定是否对采购文件的实质性要求作出响应。评审小组</w:t>
      </w:r>
      <w:r>
        <w:rPr>
          <w:rFonts w:hint="eastAsia"/>
          <w:color w:val="auto"/>
          <w:szCs w:val="21"/>
          <w:highlight w:val="none"/>
        </w:rPr>
        <w:t>决定响应</w:t>
      </w:r>
      <w:r>
        <w:rPr>
          <w:rFonts w:hint="eastAsia" w:ascii="宋体" w:hAnsi="宋体"/>
          <w:color w:val="auto"/>
          <w:szCs w:val="21"/>
          <w:highlight w:val="none"/>
        </w:rPr>
        <w:t>文件</w:t>
      </w:r>
      <w:r>
        <w:rPr>
          <w:rFonts w:hint="eastAsia"/>
          <w:color w:val="auto"/>
          <w:szCs w:val="21"/>
          <w:highlight w:val="none"/>
        </w:rPr>
        <w:t>的响应性只根据响应</w:t>
      </w:r>
      <w:r>
        <w:rPr>
          <w:rFonts w:hint="eastAsia" w:ascii="宋体" w:hAnsi="宋体"/>
          <w:color w:val="auto"/>
          <w:szCs w:val="21"/>
          <w:highlight w:val="none"/>
        </w:rPr>
        <w:t>文件</w:t>
      </w:r>
      <w:r>
        <w:rPr>
          <w:rFonts w:hint="eastAsia"/>
          <w:color w:val="auto"/>
          <w:szCs w:val="21"/>
          <w:highlight w:val="none"/>
        </w:rPr>
        <w:t>真实无误的内容，而不依据外部的证据，但响应</w:t>
      </w:r>
      <w:r>
        <w:rPr>
          <w:rFonts w:hint="eastAsia" w:ascii="宋体" w:hAnsi="宋体"/>
          <w:color w:val="auto"/>
          <w:szCs w:val="21"/>
          <w:highlight w:val="none"/>
        </w:rPr>
        <w:t>文件</w:t>
      </w:r>
      <w:r>
        <w:rPr>
          <w:rFonts w:hint="eastAsia"/>
          <w:color w:val="auto"/>
          <w:szCs w:val="21"/>
          <w:highlight w:val="none"/>
        </w:rPr>
        <w:t>有不真实、不正确的内容时除外。</w:t>
      </w:r>
    </w:p>
    <w:p w14:paraId="332B337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(3)供应商</w:t>
      </w:r>
      <w:r>
        <w:rPr>
          <w:rFonts w:hint="eastAsia"/>
          <w:color w:val="auto"/>
          <w:szCs w:val="21"/>
          <w:highlight w:val="none"/>
        </w:rPr>
        <w:t>不得通过修正或撤销不合要求的偏离从而使其投标成为实质上响应的投标。</w:t>
      </w:r>
    </w:p>
    <w:p w14:paraId="721A3E9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2.1.2 响应文件属下列情况之一的，应当在资格性、符合性检查时按照无效响应处理，无效响应的情况同时在</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1F47B3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）未按照采购文件规定要求密封、签署、盖章的；</w:t>
      </w:r>
    </w:p>
    <w:p w14:paraId="56E114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）不具备第二章“供应商须知”第3.1</w:t>
      </w:r>
      <w:r>
        <w:rPr>
          <w:rFonts w:hint="eastAsia" w:ascii="宋体" w:hAnsi="宋体"/>
          <w:color w:val="auto"/>
          <w:szCs w:val="21"/>
          <w:highlight w:val="none"/>
          <w:lang w:val="zh-CN"/>
        </w:rPr>
        <w:t>款</w:t>
      </w:r>
      <w:r>
        <w:rPr>
          <w:rFonts w:hint="eastAsia" w:ascii="宋体" w:hAnsi="宋体"/>
          <w:color w:val="auto"/>
          <w:szCs w:val="21"/>
          <w:highlight w:val="none"/>
        </w:rPr>
        <w:t>规定的供应商资格要求的；</w:t>
      </w:r>
    </w:p>
    <w:p w14:paraId="3124C4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）不满足实质性要求的；</w:t>
      </w:r>
    </w:p>
    <w:p w14:paraId="2EBA3E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）投标报价超过采购项目采购预算</w:t>
      </w:r>
      <w:r>
        <w:rPr>
          <w:rFonts w:hint="eastAsia" w:ascii="宋体" w:hAnsi="宋体"/>
          <w:color w:val="auto"/>
          <w:szCs w:val="21"/>
          <w:highlight w:val="none"/>
          <w:lang w:eastAsia="zh-CN"/>
        </w:rPr>
        <w:t>的</w:t>
      </w:r>
      <w:r>
        <w:rPr>
          <w:rFonts w:hint="eastAsia" w:ascii="宋体" w:hAnsi="宋体"/>
          <w:color w:val="auto"/>
          <w:szCs w:val="21"/>
          <w:highlight w:val="none"/>
        </w:rPr>
        <w:t>；</w:t>
      </w:r>
    </w:p>
    <w:p w14:paraId="0946F9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）同一供应商提交两个以上不同的响应文件或者投标报价的；</w:t>
      </w:r>
    </w:p>
    <w:p w14:paraId="7A19844A">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）响应文件载明的投标范围小于采购文件规定的采购范围的(缺漏采购文件所要求的内容)；</w:t>
      </w:r>
    </w:p>
    <w:p w14:paraId="4AB6287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）响应文件有效期不足的；</w:t>
      </w:r>
    </w:p>
    <w:p w14:paraId="4B39AA5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）不符合法律、法规和采购文件规定的。</w:t>
      </w:r>
    </w:p>
    <w:p w14:paraId="60E447D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2.1.3 有下列情形之一时，评审小组应予废标，并将理由通知所有供应商。废标的情形同时在</w:t>
      </w:r>
      <w:r>
        <w:rPr>
          <w:rFonts w:hint="eastAsia" w:ascii="宋体" w:hAnsi="宋体"/>
          <w:b/>
          <w:bCs/>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集中列示：</w:t>
      </w:r>
    </w:p>
    <w:p w14:paraId="530DBA1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（1）出现影响采购公正的违法、违规行为的；</w:t>
      </w:r>
    </w:p>
    <w:p w14:paraId="146A56E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（2）供应商的报价均超过了采购预算；</w:t>
      </w:r>
    </w:p>
    <w:p w14:paraId="0B6EE86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（3）评审过程中，合格供应商仅有一家；</w:t>
      </w:r>
    </w:p>
    <w:p w14:paraId="6A475CC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（4）因重大变故，采购任务取消的。</w:t>
      </w:r>
    </w:p>
    <w:p w14:paraId="3DABC1E2">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2.1.4除</w:t>
      </w:r>
      <w:r>
        <w:rPr>
          <w:rFonts w:hint="eastAsia" w:ascii="宋体" w:hAnsi="宋体"/>
          <w:b/>
          <w:color w:val="auto"/>
          <w:szCs w:val="21"/>
          <w:highlight w:val="none"/>
          <w:lang w:eastAsia="zh-CN"/>
        </w:rPr>
        <w:t>竞谈采购</w:t>
      </w:r>
      <w:r>
        <w:rPr>
          <w:rFonts w:hint="eastAsia" w:ascii="宋体" w:hAnsi="宋体"/>
          <w:b/>
          <w:color w:val="auto"/>
          <w:szCs w:val="21"/>
          <w:highlight w:val="none"/>
        </w:rPr>
        <w:t>须知前附表</w:t>
      </w:r>
      <w:r>
        <w:rPr>
          <w:rFonts w:hint="eastAsia" w:ascii="宋体" w:hAnsi="宋体"/>
          <w:color w:val="auto"/>
          <w:szCs w:val="21"/>
          <w:highlight w:val="none"/>
        </w:rPr>
        <w:t>另有规定外</w:t>
      </w:r>
      <w:r>
        <w:rPr>
          <w:rFonts w:hint="eastAsia" w:ascii="宋体" w:hAnsi="宋体"/>
          <w:b/>
          <w:color w:val="auto"/>
          <w:szCs w:val="21"/>
          <w:highlight w:val="none"/>
        </w:rPr>
        <w:t>，</w:t>
      </w:r>
      <w:r>
        <w:rPr>
          <w:rFonts w:hint="eastAsia" w:ascii="宋体" w:hAnsi="宋体"/>
          <w:color w:val="auto"/>
          <w:szCs w:val="21"/>
          <w:highlight w:val="none"/>
        </w:rPr>
        <w:t>多家代理商参加同一品牌同一型号产品投标的，在统计供应商数量时，作为一个供应商计算。</w:t>
      </w:r>
    </w:p>
    <w:p w14:paraId="377A5659">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ascii="宋体" w:hAnsi="宋体"/>
          <w:bCs/>
          <w:color w:val="auto"/>
          <w:szCs w:val="21"/>
          <w:highlight w:val="none"/>
        </w:rPr>
      </w:pPr>
      <w:r>
        <w:rPr>
          <w:rFonts w:hint="eastAsia" w:ascii="宋体" w:hAnsi="宋体"/>
          <w:b/>
          <w:bCs/>
          <w:color w:val="auto"/>
          <w:szCs w:val="21"/>
          <w:highlight w:val="none"/>
        </w:rPr>
        <w:t>2.2澄清有关问题</w:t>
      </w:r>
    </w:p>
    <w:p w14:paraId="3C591B2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2.2.1 对响应文件中含义不明确、同类问题表述不一致或者有明显文字和计算错误的内容，评审小组将以书面形式通知供应商作出必要的澄清、说明，但不得超出响应文件的范围或对响应文件做实质性的修改（计算错误修正除外）。评审小组不接受供应商主动提出的澄清、说明。</w:t>
      </w:r>
    </w:p>
    <w:p w14:paraId="650E2223">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2.2.2供应商不得对下列内容</w:t>
      </w:r>
      <w:r>
        <w:rPr>
          <w:rFonts w:hint="eastAsia" w:ascii="宋体" w:hAnsi="宋体"/>
          <w:bCs/>
          <w:color w:val="auto"/>
          <w:szCs w:val="21"/>
          <w:highlight w:val="none"/>
        </w:rPr>
        <w:t>其进行澄清或补充：</w:t>
      </w:r>
    </w:p>
    <w:p w14:paraId="0C1DAF9F">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（1）开标时，</w:t>
      </w:r>
      <w:r>
        <w:rPr>
          <w:rFonts w:hint="eastAsia" w:ascii="宋体" w:hAnsi="宋体"/>
          <w:bCs/>
          <w:color w:val="auto"/>
          <w:szCs w:val="21"/>
          <w:highlight w:val="none"/>
        </w:rPr>
        <w:t>未宣读的投标价格。</w:t>
      </w:r>
    </w:p>
    <w:p w14:paraId="3823AF2C">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bCs/>
          <w:color w:val="auto"/>
          <w:szCs w:val="21"/>
          <w:highlight w:val="none"/>
        </w:rPr>
      </w:pPr>
      <w:r>
        <w:rPr>
          <w:rFonts w:hint="eastAsia" w:ascii="宋体" w:hAnsi="宋体"/>
          <w:color w:val="auto"/>
          <w:szCs w:val="21"/>
          <w:highlight w:val="none"/>
        </w:rPr>
        <w:t>（2）不满足实质性要求的</w:t>
      </w:r>
      <w:r>
        <w:rPr>
          <w:rFonts w:hint="eastAsia" w:ascii="宋体" w:hAnsi="宋体"/>
          <w:bCs/>
          <w:color w:val="auto"/>
          <w:szCs w:val="21"/>
          <w:highlight w:val="none"/>
        </w:rPr>
        <w:t>响应文件内容</w:t>
      </w:r>
      <w:r>
        <w:rPr>
          <w:rFonts w:hint="eastAsia" w:ascii="宋体" w:hAnsi="宋体"/>
          <w:color w:val="auto"/>
          <w:szCs w:val="21"/>
          <w:highlight w:val="none"/>
        </w:rPr>
        <w:t>，</w:t>
      </w:r>
    </w:p>
    <w:p w14:paraId="57B176D5">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2.2.3 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w:t>
      </w:r>
    </w:p>
    <w:p w14:paraId="41D82914">
      <w:pPr>
        <w:keepNext w:val="0"/>
        <w:keepLines w:val="0"/>
        <w:pageBreakBefore w:val="0"/>
        <w:tabs>
          <w:tab w:val="left" w:pos="0"/>
        </w:tabs>
        <w:kinsoku/>
        <w:wordWrap/>
        <w:overflowPunct/>
        <w:topLinePunct w:val="0"/>
        <w:autoSpaceDE/>
        <w:autoSpaceDN/>
        <w:bidi w:val="0"/>
        <w:adjustRightInd w:val="0"/>
        <w:snapToGrid w:val="0"/>
        <w:spacing w:line="360" w:lineRule="auto"/>
        <w:ind w:right="0" w:rightChars="0"/>
        <w:textAlignment w:val="auto"/>
        <w:rPr>
          <w:rFonts w:ascii="宋体" w:hAnsi="宋体"/>
          <w:b/>
          <w:bCs/>
          <w:color w:val="auto"/>
          <w:szCs w:val="21"/>
          <w:highlight w:val="none"/>
        </w:rPr>
      </w:pPr>
      <w:r>
        <w:rPr>
          <w:rFonts w:hint="eastAsia" w:ascii="宋体" w:hAnsi="宋体"/>
          <w:b/>
          <w:bCs/>
          <w:color w:val="auto"/>
          <w:szCs w:val="21"/>
          <w:highlight w:val="none"/>
        </w:rPr>
        <w:t>2.3 比较与评价</w:t>
      </w:r>
    </w:p>
    <w:p w14:paraId="2C47041A">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2.3.1评审小组应当从质量和服务均能满足</w:t>
      </w:r>
      <w:r>
        <w:rPr>
          <w:rFonts w:hint="eastAsia" w:ascii="宋体" w:hAnsi="宋体"/>
          <w:bCs/>
          <w:color w:val="auto"/>
          <w:szCs w:val="21"/>
          <w:highlight w:val="none"/>
          <w:lang w:eastAsia="zh-CN"/>
        </w:rPr>
        <w:t>采购文件</w:t>
      </w:r>
      <w:r>
        <w:rPr>
          <w:rFonts w:hint="eastAsia" w:ascii="宋体" w:hAnsi="宋体"/>
          <w:bCs/>
          <w:color w:val="auto"/>
          <w:szCs w:val="21"/>
          <w:highlight w:val="none"/>
        </w:rPr>
        <w:t>实质性响应要求的</w:t>
      </w:r>
      <w:r>
        <w:rPr>
          <w:rFonts w:hint="eastAsia" w:ascii="宋体" w:hAnsi="宋体"/>
          <w:bCs/>
          <w:color w:val="auto"/>
          <w:szCs w:val="21"/>
          <w:highlight w:val="none"/>
          <w:lang w:eastAsia="zh-CN"/>
        </w:rPr>
        <w:t>供应商</w:t>
      </w:r>
      <w:r>
        <w:rPr>
          <w:rFonts w:hint="eastAsia" w:ascii="宋体" w:hAnsi="宋体"/>
          <w:bCs/>
          <w:color w:val="auto"/>
          <w:szCs w:val="21"/>
          <w:highlight w:val="none"/>
        </w:rPr>
        <w:t>中，按照报价由低到高的顺序提出3名以上成交候选人，并编写评审报告。</w:t>
      </w:r>
    </w:p>
    <w:p w14:paraId="06E29AB2">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2.3.2如评审小组认为</w:t>
      </w:r>
      <w:r>
        <w:rPr>
          <w:rFonts w:hint="eastAsia" w:ascii="宋体" w:hAnsi="宋体"/>
          <w:bCs/>
          <w:color w:val="auto"/>
          <w:szCs w:val="21"/>
          <w:highlight w:val="none"/>
        </w:rPr>
        <w:t>所有报价均显著高于市场合理水平或缺乏有效竞争</w:t>
      </w:r>
      <w:r>
        <w:rPr>
          <w:rFonts w:hint="eastAsia" w:ascii="宋体" w:hAnsi="宋体"/>
          <w:bCs/>
          <w:color w:val="auto"/>
          <w:szCs w:val="21"/>
          <w:highlight w:val="none"/>
          <w:lang w:val="en-US" w:eastAsia="zh-CN"/>
        </w:rPr>
        <w:t>,可</w:t>
      </w:r>
      <w:r>
        <w:rPr>
          <w:rFonts w:hint="eastAsia" w:ascii="宋体" w:hAnsi="宋体"/>
          <w:bCs/>
          <w:color w:val="auto"/>
          <w:szCs w:val="21"/>
          <w:highlight w:val="none"/>
        </w:rPr>
        <w:t>否决所有投标或建重新招标</w:t>
      </w:r>
      <w:r>
        <w:rPr>
          <w:rFonts w:hint="eastAsia" w:ascii="宋体" w:hAnsi="宋体"/>
          <w:bCs/>
          <w:color w:val="auto"/>
          <w:szCs w:val="21"/>
          <w:highlight w:val="none"/>
          <w:lang w:eastAsia="zh-CN"/>
        </w:rPr>
        <w:t>。</w:t>
      </w:r>
    </w:p>
    <w:p w14:paraId="4F07737E">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8B72D28">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07B7601">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1EEC58A">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A3F469D">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1AF71D46">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76D04EA2">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5E0A5C53">
      <w:pPr>
        <w:pStyle w:val="13"/>
        <w:adjustRightInd w:val="0"/>
        <w:snapToGrid w:val="0"/>
        <w:spacing w:beforeLines="50" w:afterLines="50" w:line="360" w:lineRule="auto"/>
        <w:jc w:val="center"/>
        <w:rPr>
          <w:rStyle w:val="28"/>
          <w:rFonts w:hint="eastAsia" w:hAnsi="宋体" w:cs="宋体"/>
          <w:color w:val="auto"/>
          <w:sz w:val="32"/>
          <w:szCs w:val="32"/>
          <w:highlight w:val="none"/>
        </w:rPr>
      </w:pPr>
    </w:p>
    <w:p w14:paraId="23ED2183">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四</w:t>
      </w:r>
      <w:r>
        <w:rPr>
          <w:rStyle w:val="28"/>
          <w:rFonts w:hint="eastAsia" w:hAnsi="宋体" w:cs="宋体"/>
          <w:color w:val="auto"/>
          <w:sz w:val="32"/>
          <w:szCs w:val="32"/>
          <w:highlight w:val="none"/>
        </w:rPr>
        <w:t>章 采购需求</w:t>
      </w:r>
    </w:p>
    <w:p w14:paraId="78CC13F7">
      <w:pPr>
        <w:spacing w:line="360" w:lineRule="auto"/>
        <w:rPr>
          <w:b/>
          <w:bCs/>
          <w:color w:val="auto"/>
          <w:highlight w:val="none"/>
        </w:rPr>
      </w:pPr>
      <w:r>
        <w:rPr>
          <w:rFonts w:hint="eastAsia"/>
          <w:b/>
          <w:bCs/>
          <w:color w:val="auto"/>
          <w:highlight w:val="none"/>
        </w:rPr>
        <w:t>一、项目概述：</w:t>
      </w:r>
    </w:p>
    <w:p w14:paraId="0DA3BA3E">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1、项目名称：株洲北斗应用与信息技术产业示范基地配套基础设施项目（一期）</w:t>
      </w:r>
      <w:r>
        <w:rPr>
          <w:rFonts w:hint="eastAsia" w:cs="Times New Roman"/>
          <w:color w:val="auto"/>
          <w:highlight w:val="none"/>
          <w:lang w:val="en-US" w:eastAsia="zh-CN"/>
        </w:rPr>
        <w:t>厂房钢结构</w:t>
      </w:r>
      <w:r>
        <w:rPr>
          <w:rFonts w:hint="eastAsia" w:ascii="Times New Roman" w:hAnsi="Times New Roman" w:eastAsia="宋体" w:cs="Times New Roman"/>
          <w:color w:val="auto"/>
          <w:highlight w:val="none"/>
          <w:lang w:val="en-US" w:eastAsia="zh-CN"/>
        </w:rPr>
        <w:t>材料采购</w:t>
      </w:r>
    </w:p>
    <w:p w14:paraId="2E55D641">
      <w:pPr>
        <w:pStyle w:val="2"/>
        <w:ind w:left="0" w:leftChars="0" w:firstLine="42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2、采购人：株洲市云龙发展集团城市建设有限公司</w:t>
      </w:r>
    </w:p>
    <w:p w14:paraId="54BD7C80">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2、项目地址：株洲市经开区，西侧为菖塘路，北侧为兴园路，南侧为创业路。</w:t>
      </w:r>
    </w:p>
    <w:p w14:paraId="78796ED1">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lang w:eastAsia="zh-CN"/>
        </w:rPr>
      </w:pPr>
      <w:r>
        <w:rPr>
          <w:rFonts w:hint="eastAsia"/>
          <w:b/>
          <w:bCs/>
          <w:color w:val="auto"/>
          <w:highlight w:val="none"/>
          <w:lang w:eastAsia="zh-CN"/>
        </w:rPr>
        <w:t>二、采购方式：</w:t>
      </w:r>
    </w:p>
    <w:p w14:paraId="1464F962">
      <w:pPr>
        <w:pStyle w:val="2"/>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cs="Times New Roman"/>
          <w:color w:val="auto"/>
          <w:kern w:val="2"/>
          <w:sz w:val="21"/>
          <w:szCs w:val="24"/>
          <w:highlight w:val="none"/>
          <w:lang w:val="en-US" w:eastAsia="zh-CN" w:bidi="ar-SA"/>
        </w:rPr>
        <w:t>竞谈采购。</w:t>
      </w:r>
    </w:p>
    <w:p w14:paraId="324690E5">
      <w:pPr>
        <w:keepNext w:val="0"/>
        <w:keepLines w:val="0"/>
        <w:pageBreakBefore w:val="0"/>
        <w:widowControl w:val="0"/>
        <w:kinsoku/>
        <w:wordWrap/>
        <w:overflowPunct/>
        <w:topLinePunct w:val="0"/>
        <w:autoSpaceDE/>
        <w:autoSpaceDN/>
        <w:bidi w:val="0"/>
        <w:snapToGrid/>
        <w:spacing w:line="360" w:lineRule="auto"/>
        <w:ind w:right="0" w:rightChars="0"/>
        <w:jc w:val="left"/>
        <w:textAlignment w:val="auto"/>
        <w:rPr>
          <w:rFonts w:hint="eastAsia"/>
          <w:b/>
          <w:bCs/>
          <w:color w:val="auto"/>
          <w:highlight w:val="none"/>
        </w:rPr>
      </w:pPr>
      <w:r>
        <w:rPr>
          <w:rFonts w:hint="eastAsia"/>
          <w:b/>
          <w:bCs/>
          <w:color w:val="auto"/>
          <w:highlight w:val="none"/>
          <w:lang w:eastAsia="zh-CN"/>
        </w:rPr>
        <w:t>三</w:t>
      </w:r>
      <w:r>
        <w:rPr>
          <w:rFonts w:hint="eastAsia"/>
          <w:b/>
          <w:bCs/>
          <w:color w:val="auto"/>
          <w:highlight w:val="none"/>
        </w:rPr>
        <w:t>、</w:t>
      </w:r>
      <w:r>
        <w:rPr>
          <w:rFonts w:hint="eastAsia" w:ascii="宋体" w:hAnsi="宋体" w:cs="宋体"/>
          <w:b/>
          <w:color w:val="auto"/>
          <w:highlight w:val="none"/>
          <w:lang w:eastAsia="zh-CN"/>
        </w:rPr>
        <w:t>采</w:t>
      </w:r>
      <w:r>
        <w:rPr>
          <w:rFonts w:hint="eastAsia" w:ascii="宋体" w:hAnsi="宋体" w:eastAsia="宋体" w:cs="宋体"/>
          <w:b/>
          <w:color w:val="auto"/>
          <w:highlight w:val="none"/>
          <w:lang w:eastAsia="zh-CN"/>
        </w:rPr>
        <w:t>购内容</w:t>
      </w:r>
      <w:r>
        <w:rPr>
          <w:rFonts w:hint="default" w:ascii="宋体" w:hAnsi="宋体" w:eastAsia="宋体" w:cs="宋体"/>
          <w:b/>
          <w:color w:val="auto"/>
          <w:highlight w:val="none"/>
          <w:lang w:val="en-US" w:eastAsia="zh-CN"/>
        </w:rPr>
        <w:t>及清单</w:t>
      </w:r>
      <w:r>
        <w:rPr>
          <w:rFonts w:hint="eastAsia"/>
          <w:b/>
          <w:bCs/>
          <w:color w:val="auto"/>
          <w:highlight w:val="none"/>
        </w:rPr>
        <w:t>：</w:t>
      </w:r>
    </w:p>
    <w:p w14:paraId="40CC9C73">
      <w:pPr>
        <w:pStyle w:val="2"/>
        <w:ind w:left="0" w:leftChars="0" w:firstLine="42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采购范围： 项目建设所需全部</w:t>
      </w:r>
      <w:r>
        <w:rPr>
          <w:rFonts w:hint="eastAsia" w:cs="Times New Roman"/>
          <w:color w:val="auto"/>
          <w:highlight w:val="none"/>
          <w:lang w:val="en-US" w:eastAsia="zh-CN"/>
        </w:rPr>
        <w:t>厂房钢结构材料</w:t>
      </w:r>
      <w:r>
        <w:rPr>
          <w:rFonts w:hint="default" w:ascii="Times New Roman" w:hAnsi="Times New Roman" w:eastAsia="宋体" w:cs="Times New Roman"/>
          <w:color w:val="auto"/>
          <w:highlight w:val="none"/>
          <w:lang w:val="en-US" w:eastAsia="zh-CN"/>
        </w:rPr>
        <w:t>。</w:t>
      </w:r>
    </w:p>
    <w:p w14:paraId="6CD3BE37">
      <w:pPr>
        <w:pStyle w:val="2"/>
        <w:ind w:left="0" w:leftChars="0" w:firstLine="42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参考清单（仅列规格，数量按实结算）</w:t>
      </w:r>
    </w:p>
    <w:p w14:paraId="4F7B66DC">
      <w:pPr>
        <w:rPr>
          <w:rFonts w:hint="default"/>
          <w:lang w:val="en-US" w:eastAsia="zh-CN"/>
        </w:rPr>
      </w:pPr>
    </w:p>
    <w:tbl>
      <w:tblPr>
        <w:tblStyle w:val="19"/>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267"/>
        <w:gridCol w:w="3531"/>
        <w:gridCol w:w="830"/>
        <w:gridCol w:w="976"/>
        <w:gridCol w:w="1689"/>
      </w:tblGrid>
      <w:tr w14:paraId="63B7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79F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编号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EE9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工程项目</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C3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构件规格</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804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2E8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数量</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072D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上限控制价(元)</w:t>
            </w:r>
          </w:p>
        </w:tc>
      </w:tr>
      <w:tr w14:paraId="52FC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4A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3BF">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钢柱</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B0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329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16B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267.7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7FE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0E3C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B0E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2303">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钢梁</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CE5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B48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247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05E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65F7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B3E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F332">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行车梁</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BF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FB5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FBF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204.1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88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5544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0B3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814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风机支架</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94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36D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1A1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6.74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58D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5547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29C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8D6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系杆</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7B4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EB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F2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10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7CB2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127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23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水平支撑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3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∅180X6.0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90A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4B1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22.44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EAA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4950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F97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D13">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水平支撑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E5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7E6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762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13.51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1DD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3FB4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CC5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CD05">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柱撑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090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C22a槽钢</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815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78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65B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0600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9D1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0762">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柱撑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26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L100x6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866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89A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5431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718A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D63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2D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柱撑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D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1A5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AB3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C25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5F1F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3EF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07C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隅撑</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7F1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L50x4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672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560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2F8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r>
      <w:tr w14:paraId="65D3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F57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620">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套杆</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481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∅32x2.5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186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7D1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0.96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835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30E3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358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0928">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制动</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4AE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C28a槽钢</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BAC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853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3A2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647B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7C1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14C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制动</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162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L110X10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327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726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C88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0386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897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7C7">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连接板</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05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0E9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646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112.5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304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3F93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8DD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667">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屋面檩条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042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Z300X80X20X3.0（2.5）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30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F74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53.42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E1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34C3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96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8790">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屋面檩条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A6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C300X80X20X3.0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7FB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F3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BB09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4200</w:t>
            </w:r>
          </w:p>
        </w:tc>
      </w:tr>
      <w:tr w14:paraId="721C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33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ACD0">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拉条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FF7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7EE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611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AEA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w:t>
            </w:r>
          </w:p>
        </w:tc>
      </w:tr>
      <w:tr w14:paraId="7E0B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9A2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E3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屋面上板</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0.8mm820型彩钢板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55A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FC4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B4A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47</w:t>
            </w:r>
          </w:p>
        </w:tc>
      </w:tr>
      <w:tr w14:paraId="697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200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2C2F">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屋面下板</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599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0.6mm820型彩钢板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64B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A5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28B4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42</w:t>
            </w:r>
          </w:p>
        </w:tc>
      </w:tr>
      <w:tr w14:paraId="197F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8F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DA2B">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屋面压力板</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2A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6mm纤维水泥压力板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685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79F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1CC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13</w:t>
            </w:r>
          </w:p>
        </w:tc>
      </w:tr>
      <w:tr w14:paraId="2067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123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C7E2">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屋面保温层</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111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80mm厚岩棉板保温层</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B59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C59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FD3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31</w:t>
            </w:r>
          </w:p>
        </w:tc>
      </w:tr>
      <w:tr w14:paraId="7851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158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D05">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屋面隔汽层</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F5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0.49厚聚乙烯膜隔汽层</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4B5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477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843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2.5</w:t>
            </w:r>
          </w:p>
        </w:tc>
      </w:tr>
      <w:tr w14:paraId="346D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F8B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018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采光天窗</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91A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6+12A+6+1.14PVB+6mm中透光双银Low-e</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628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043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890E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360</w:t>
            </w:r>
          </w:p>
        </w:tc>
      </w:tr>
      <w:tr w14:paraId="1F0E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613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829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屋顶自然通风器</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BA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QM-1000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230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AF2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706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360</w:t>
            </w:r>
          </w:p>
        </w:tc>
      </w:tr>
      <w:tr w14:paraId="0C7C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223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5BA5">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墙面板</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3F2">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1.复合保温一体化墙板(0.8mm铝镁锰板（外侧）+100mm厚防火岩棉+0.6mm钢板（内侧）)；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2.龙骨：60*80*4mm钢龙骨,横向竖向间距：500mm，含门窗洞口加强；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3.内侧封一层水泥纤维饰面板8mm厚；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4.综合考虑铝镁锰板颜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色及表面样式。</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4CF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BC5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6200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BD7E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230</w:t>
            </w:r>
          </w:p>
        </w:tc>
      </w:tr>
      <w:tr w14:paraId="2974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497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FB35">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天沟</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FDB">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1.钢材品种：304不锈钢钢板3mm厚，规格：高600*宽500mm，形状详见设计图参17ZJ925-1 2-69;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2.构件类型：须中标人根据现场情况深化设计（费用含在报价中,不另计），经发包人确认后实施;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3.工程量按延长米计算</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86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177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36F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330</w:t>
            </w:r>
          </w:p>
        </w:tc>
      </w:tr>
      <w:tr w14:paraId="7671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25E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23B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落水管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9F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∅150PVC</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B97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4E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C5B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44</w:t>
            </w:r>
          </w:p>
        </w:tc>
      </w:tr>
      <w:tr w14:paraId="68FC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0AA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2EF4">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高强螺栓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2E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EA4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DDB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7A7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6.8</w:t>
            </w:r>
          </w:p>
        </w:tc>
      </w:tr>
      <w:tr w14:paraId="077E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D62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FFF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高强螺栓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68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45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595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2F0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5.8</w:t>
            </w:r>
          </w:p>
        </w:tc>
      </w:tr>
      <w:tr w14:paraId="7F4E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B245">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4D0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高强螺栓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864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728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568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E58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5.8</w:t>
            </w:r>
          </w:p>
        </w:tc>
      </w:tr>
      <w:tr w14:paraId="4BC3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AED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39B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高强螺栓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C31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A4B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84F2">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6500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A04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5.8</w:t>
            </w:r>
          </w:p>
        </w:tc>
      </w:tr>
      <w:tr w14:paraId="093F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E33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9628">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预埋螺栓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A72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M52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BC2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CAD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853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151</w:t>
            </w:r>
          </w:p>
        </w:tc>
      </w:tr>
      <w:tr w14:paraId="363C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70C1">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19F">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预埋螺栓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5FA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M48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71D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8010">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B91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96</w:t>
            </w:r>
          </w:p>
        </w:tc>
      </w:tr>
      <w:tr w14:paraId="746C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C5E">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37A3">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预埋螺栓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117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M42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64E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464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347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140</w:t>
            </w:r>
          </w:p>
        </w:tc>
      </w:tr>
      <w:tr w14:paraId="527C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2929">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3C5C">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预埋螺栓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DD8">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8EEB">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C073">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C5C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98</w:t>
            </w:r>
          </w:p>
        </w:tc>
      </w:tr>
      <w:tr w14:paraId="422E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EE6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A70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预埋螺栓</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BA7">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07D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BE4">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8FE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70</w:t>
            </w:r>
          </w:p>
        </w:tc>
      </w:tr>
      <w:tr w14:paraId="4521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9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A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防火涂料面层（耐火极限≥2.5小时）</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6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防火涂料(非膨胀型)</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3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A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10296.4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5B53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4EDB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9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防火涂料面层（耐火极限≥1小时）</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1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防火涂料(膨胀型)</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A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15798.98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90F53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bl>
    <w:p w14:paraId="2F9BAE69">
      <w:pPr>
        <w:rPr>
          <w:rFonts w:hint="default" w:ascii="Times New Roman" w:hAnsi="Times New Roman" w:eastAsia="宋体" w:cs="Times New Roman"/>
          <w:color w:val="auto"/>
          <w:highlight w:val="none"/>
          <w:lang w:val="en-US" w:eastAsia="zh-CN"/>
        </w:rPr>
      </w:pPr>
    </w:p>
    <w:p w14:paraId="2D25267E">
      <w:pPr>
        <w:pStyle w:val="2"/>
        <w:rPr>
          <w:rFonts w:hint="eastAsia"/>
          <w:lang w:val="en-US" w:eastAsia="zh-CN"/>
        </w:rPr>
      </w:pPr>
    </w:p>
    <w:p w14:paraId="1CE5A602">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四</w:t>
      </w:r>
      <w:r>
        <w:rPr>
          <w:rFonts w:hint="eastAsia" w:ascii="宋体" w:hAnsi="宋体" w:eastAsia="宋体" w:cs="宋体"/>
          <w:b/>
          <w:color w:val="auto"/>
          <w:highlight w:val="none"/>
          <w:lang w:val="en-US" w:eastAsia="zh-CN"/>
        </w:rPr>
        <w:t>、</w:t>
      </w:r>
      <w:r>
        <w:rPr>
          <w:rFonts w:hint="default" w:ascii="宋体" w:hAnsi="宋体" w:eastAsia="宋体" w:cs="宋体"/>
          <w:b/>
          <w:color w:val="auto"/>
          <w:highlight w:val="none"/>
          <w:lang w:val="en-US" w:eastAsia="zh-CN"/>
        </w:rPr>
        <w:t>技术及品牌要求</w:t>
      </w:r>
    </w:p>
    <w:p w14:paraId="4A3F1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1.</w:t>
      </w:r>
      <w:r>
        <w:rPr>
          <w:rFonts w:hint="default" w:ascii="Times New Roman" w:hAnsi="Times New Roman" w:eastAsia="宋体" w:cs="Times New Roman"/>
          <w:color w:val="FF0000"/>
          <w:highlight w:val="none"/>
          <w:lang w:val="en-US" w:eastAsia="zh-CN"/>
        </w:rPr>
        <w:t>品牌限制：本工程严禁使用非指定品牌钢</w:t>
      </w:r>
      <w:r>
        <w:rPr>
          <w:rFonts w:hint="eastAsia" w:cs="Times New Roman"/>
          <w:color w:val="FF0000"/>
          <w:highlight w:val="none"/>
          <w:lang w:val="en-US" w:eastAsia="zh-CN"/>
        </w:rPr>
        <w:t>材</w:t>
      </w:r>
      <w:r>
        <w:rPr>
          <w:rFonts w:hint="default" w:ascii="Times New Roman" w:hAnsi="Times New Roman" w:eastAsia="宋体" w:cs="Times New Roman"/>
          <w:color w:val="FF0000"/>
          <w:highlight w:val="none"/>
          <w:lang w:val="en-US" w:eastAsia="zh-CN"/>
        </w:rPr>
        <w:t>。供应商必须承诺所供货物为湘钢、萍钢、涟钢原厂生产。如发现混入其他品牌，采购人有权退货，并处违约罚款。</w:t>
      </w:r>
    </w:p>
    <w:p w14:paraId="3D4EB5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质量标准：符合国家标准。</w:t>
      </w:r>
    </w:p>
    <w:p w14:paraId="18607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资料要求：每车货物必须随附原厂质量证明书（原件）、吊牌（清晰显示炉批号、品牌），且吊牌信息与质保书一致。</w:t>
      </w:r>
    </w:p>
    <w:p w14:paraId="7ABBCC7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五、</w:t>
      </w:r>
      <w:r>
        <w:rPr>
          <w:rFonts w:hint="default" w:ascii="宋体" w:hAnsi="宋体" w:eastAsia="宋体" w:cs="宋体"/>
          <w:b/>
          <w:color w:val="auto"/>
          <w:highlight w:val="none"/>
          <w:lang w:val="en-US" w:eastAsia="zh-CN"/>
        </w:rPr>
        <w:t>报价方式</w:t>
      </w:r>
    </w:p>
    <w:p w14:paraId="0B1880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由供应商根据控制单价自主报价</w:t>
      </w:r>
      <w:r>
        <w:rPr>
          <w:rFonts w:hint="default" w:ascii="Times New Roman" w:hAnsi="Times New Roman" w:eastAsia="宋体" w:cs="Times New Roman"/>
          <w:color w:val="auto"/>
          <w:highlight w:val="none"/>
          <w:lang w:val="en-US" w:eastAsia="zh-CN"/>
        </w:rPr>
        <w:t>。</w:t>
      </w:r>
    </w:p>
    <w:p w14:paraId="07AC12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评审标准： 在满足品牌和资格要求的前提下，</w:t>
      </w:r>
      <w:r>
        <w:rPr>
          <w:rFonts w:hint="eastAsia" w:cs="Times New Roman"/>
          <w:color w:val="auto"/>
          <w:highlight w:val="none"/>
          <w:lang w:val="en-US" w:eastAsia="zh-CN"/>
        </w:rPr>
        <w:t>报价最低者</w:t>
      </w:r>
      <w:r>
        <w:rPr>
          <w:rFonts w:hint="default" w:ascii="Times New Roman" w:hAnsi="Times New Roman" w:eastAsia="宋体" w:cs="Times New Roman"/>
          <w:color w:val="auto"/>
          <w:highlight w:val="none"/>
          <w:lang w:val="en-US" w:eastAsia="zh-CN"/>
        </w:rPr>
        <w:t>为第一成交候选人。</w:t>
      </w:r>
    </w:p>
    <w:p w14:paraId="7EBE7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承包范围定义：投标人应充分理解并确认，本次招标的供货范围不仅限于招标文件“工程量清单”或“材料需求表”中列明的具体项目。供货范围应涵盖完成本项目钢结构厂房所需的全部材料、配件及辅材，包括但不限于主钢构件（钢柱、钢梁）、檩条、支撑系统、拉杆、隅撑、系杆、地脚螺栓、高强螺栓、普通螺栓、焊缝材料、防腐涂料、防火涂料、屋面及墙面围护系统（彩钢板、保温棉、收边件等）、天沟、落水管、爬梯、栏杆以及设计图纸和规范中隐含的所有连接件和固定件。</w:t>
      </w:r>
    </w:p>
    <w:p w14:paraId="6655F7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现场踏勘与图纸复核：投标人必须在投标截止前仔细踏勘现场，并严格依据招标方提供的设计图纸（含建筑图、结构图及节点详图）、技术规范及国家现行相关标准进行核算。投标人有义务对招标方提供的工程量清单进行复核。</w:t>
      </w:r>
    </w:p>
    <w:p w14:paraId="27879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漏项视为包含：若招标方提供的工程量清单中存在遗漏、缺项或描述不清的情况，但根据设计图纸、施工规范或工程实际功能需求属于必须提供的材料或配件，投标人必须在报价中予以考虑。凡属于图纸及规范范围内，但清单中未列明的材料，均视为已包含在投标总价中，中标后不予调整。</w:t>
      </w:r>
    </w:p>
    <w:p w14:paraId="0436E7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FF0000"/>
          <w:highlight w:val="none"/>
          <w:lang w:val="en-US" w:eastAsia="zh-CN"/>
        </w:rPr>
      </w:pPr>
      <w:r>
        <w:rPr>
          <w:rFonts w:hint="eastAsia" w:ascii="Times New Roman" w:hAnsi="Times New Roman" w:eastAsia="宋体" w:cs="Times New Roman"/>
          <w:color w:val="FF0000"/>
          <w:highlight w:val="none"/>
          <w:lang w:val="en-US" w:eastAsia="zh-CN"/>
        </w:rPr>
        <w:t>投标人一旦递交投标文件，即被视为已完全理解并接受招标文件、图纸及技术规范的所有要求。投标人承诺：其投标报价已充分覆盖完成合格工程所需的一切材料费用。对于清单中未列出但属于工程实体组成部分或施工措施所需的材料，均由中标人无偿提供，招标方不再另行支付任何费用。</w:t>
      </w:r>
    </w:p>
    <w:p w14:paraId="0FBCDF5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结算方式</w:t>
      </w:r>
    </w:p>
    <w:p w14:paraId="0D0C6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按月结算，结算以后提供上月供应材料的发票，双方约定每月6日前为甲、乙双方材料对账日，对账期为上月1日至本月31日；凡超过当期对账日5天未进行对账的送货单，均为无效送货单，乙方自愿放弃对该送货单进行结算</w:t>
      </w:r>
    </w:p>
    <w:p w14:paraId="19D42B76">
      <w:pPr>
        <w:keepNext w:val="0"/>
        <w:keepLines w:val="0"/>
        <w:pageBreakBefore w:val="0"/>
        <w:widowControl w:val="0"/>
        <w:numPr>
          <w:ilvl w:val="0"/>
          <w:numId w:val="4"/>
        </w:numPr>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磅差计算</w:t>
      </w:r>
    </w:p>
    <w:p w14:paraId="5E956B1E">
      <w:p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过磅数量超过乙方送货单的数量时，按送货单结算；当实际数量少于送货单数量超过千分之三时（包含3‰），当月所有送货量按最少的数量进行结算</w:t>
      </w:r>
      <w:r>
        <w:rPr>
          <w:rFonts w:hint="eastAsia" w:cs="Times New Roman"/>
          <w:color w:val="auto"/>
          <w:highlight w:val="none"/>
          <w:lang w:val="en-US" w:eastAsia="zh-CN"/>
        </w:rPr>
        <w:t>。</w:t>
      </w:r>
    </w:p>
    <w:p w14:paraId="153358A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八</w:t>
      </w:r>
      <w:r>
        <w:rPr>
          <w:rFonts w:hint="eastAsia" w:ascii="宋体" w:hAnsi="宋体" w:eastAsia="宋体" w:cs="宋体"/>
          <w:b/>
          <w:color w:val="auto"/>
          <w:highlight w:val="none"/>
          <w:lang w:val="en-US" w:eastAsia="zh-CN"/>
        </w:rPr>
        <w:t>、供货时间、运输</w:t>
      </w:r>
    </w:p>
    <w:p w14:paraId="3984812B">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1、采购人按批次将供货计划告知供应商，供应商得到计划后应在采购人计划</w:t>
      </w:r>
      <w:r>
        <w:rPr>
          <w:rFonts w:hint="eastAsia" w:cs="Times New Roman"/>
          <w:color w:val="auto"/>
          <w:highlight w:val="none"/>
          <w:lang w:val="en-US" w:eastAsia="zh-CN"/>
        </w:rPr>
        <w:t>7</w:t>
      </w:r>
      <w:r>
        <w:rPr>
          <w:rFonts w:hint="eastAsia" w:ascii="Times New Roman" w:hAnsi="Times New Roman" w:eastAsia="宋体" w:cs="Times New Roman"/>
          <w:color w:val="auto"/>
          <w:highlight w:val="none"/>
          <w:lang w:val="en-US" w:eastAsia="zh-CN"/>
        </w:rPr>
        <w:t>天内供货到项目现场。</w:t>
      </w:r>
    </w:p>
    <w:p w14:paraId="52B2E028">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2、由供应商负责货物的装车运输，并运至指定地点</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到工地由</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负责卸货。货物到达指定地点后，采购人及时派收货员对货物的数量进行验收，并在送货单上签字确认，作为双方结算的依据。（结算以</w:t>
      </w:r>
      <w:r>
        <w:rPr>
          <w:rFonts w:hint="eastAsia" w:cs="Times New Roman"/>
          <w:color w:val="auto"/>
          <w:highlight w:val="none"/>
          <w:lang w:val="en-US" w:eastAsia="zh-CN"/>
        </w:rPr>
        <w:t>验收合格</w:t>
      </w:r>
      <w:r>
        <w:rPr>
          <w:rFonts w:hint="eastAsia" w:ascii="Times New Roman" w:hAnsi="Times New Roman" w:eastAsia="宋体" w:cs="Times New Roman"/>
          <w:color w:val="auto"/>
          <w:highlight w:val="none"/>
          <w:lang w:val="en-US" w:eastAsia="zh-CN"/>
        </w:rPr>
        <w:t>实际</w:t>
      </w:r>
      <w:r>
        <w:rPr>
          <w:rFonts w:hint="eastAsia" w:cs="Times New Roman"/>
          <w:color w:val="auto"/>
          <w:highlight w:val="none"/>
          <w:lang w:val="en-US" w:eastAsia="zh-CN"/>
        </w:rPr>
        <w:t>完成</w:t>
      </w:r>
      <w:r>
        <w:rPr>
          <w:rFonts w:hint="eastAsia" w:ascii="Times New Roman" w:hAnsi="Times New Roman" w:eastAsia="宋体" w:cs="Times New Roman"/>
          <w:color w:val="auto"/>
          <w:highlight w:val="none"/>
          <w:lang w:val="en-US" w:eastAsia="zh-CN"/>
        </w:rPr>
        <w:t>量为准。）</w:t>
      </w:r>
    </w:p>
    <w:p w14:paraId="0F6EA55E">
      <w:pPr>
        <w:keepNext w:val="0"/>
        <w:keepLines w:val="0"/>
        <w:pageBreakBefore w:val="0"/>
        <w:widowControl w:val="0"/>
        <w:kinsoku/>
        <w:wordWrap/>
        <w:overflowPunct/>
        <w:topLinePunct w:val="0"/>
        <w:autoSpaceDE/>
        <w:autoSpaceDN/>
        <w:bidi w:val="0"/>
        <w:snapToGrid/>
        <w:spacing w:line="360" w:lineRule="auto"/>
        <w:ind w:right="0" w:rightChars="0" w:firstLine="0" w:firstLineChars="0"/>
        <w:jc w:val="lef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lang w:val="en-US" w:eastAsia="zh-CN"/>
        </w:rPr>
        <w:t>、货款支付方式</w:t>
      </w:r>
    </w:p>
    <w:p w14:paraId="6CA05061">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材料送货至现场后，按照双方确认的实际收货量进行</w:t>
      </w:r>
      <w:r>
        <w:rPr>
          <w:rFonts w:hint="eastAsia" w:cs="Times New Roman"/>
          <w:color w:val="auto"/>
          <w:kern w:val="2"/>
          <w:sz w:val="21"/>
          <w:szCs w:val="24"/>
          <w:highlight w:val="none"/>
          <w:lang w:val="en-US" w:eastAsia="zh-CN" w:bidi="ar-SA"/>
        </w:rPr>
        <w:t>签收</w:t>
      </w:r>
      <w:r>
        <w:rPr>
          <w:rFonts w:hint="eastAsia" w:ascii="Times New Roman" w:hAnsi="Times New Roman" w:eastAsia="宋体" w:cs="Times New Roman"/>
          <w:color w:val="auto"/>
          <w:kern w:val="2"/>
          <w:sz w:val="21"/>
          <w:szCs w:val="24"/>
          <w:highlight w:val="none"/>
          <w:lang w:val="en-US" w:eastAsia="zh-CN" w:bidi="ar-SA"/>
        </w:rPr>
        <w:t>，下月30日前，以现金转账付款方式付清本次对账金额的</w:t>
      </w:r>
      <w:r>
        <w:rPr>
          <w:rFonts w:hint="eastAsia" w:cs="Times New Roman"/>
          <w:color w:val="auto"/>
          <w:kern w:val="2"/>
          <w:sz w:val="21"/>
          <w:szCs w:val="24"/>
          <w:highlight w:val="none"/>
          <w:lang w:val="en-US" w:eastAsia="zh-CN" w:bidi="ar-SA"/>
        </w:rPr>
        <w:t>80</w:t>
      </w:r>
      <w:r>
        <w:rPr>
          <w:rFonts w:hint="eastAsia" w:ascii="Times New Roman" w:hAnsi="Times New Roman" w:eastAsia="宋体" w:cs="Times New Roman"/>
          <w:color w:val="auto"/>
          <w:kern w:val="2"/>
          <w:sz w:val="21"/>
          <w:szCs w:val="24"/>
          <w:highlight w:val="none"/>
          <w:lang w:val="en-US" w:eastAsia="zh-CN" w:bidi="ar-SA"/>
        </w:rPr>
        <w:t>%。付款时</w:t>
      </w:r>
      <w:r>
        <w:rPr>
          <w:rFonts w:hint="eastAsia" w:cs="Times New Roman"/>
          <w:color w:val="auto"/>
          <w:kern w:val="2"/>
          <w:sz w:val="21"/>
          <w:szCs w:val="24"/>
          <w:highlight w:val="none"/>
          <w:lang w:val="en-US" w:eastAsia="zh-CN" w:bidi="ar-SA"/>
        </w:rPr>
        <w:t>供货商</w:t>
      </w:r>
      <w:r>
        <w:rPr>
          <w:rFonts w:hint="eastAsia" w:ascii="Times New Roman" w:hAnsi="Times New Roman" w:eastAsia="宋体" w:cs="Times New Roman"/>
          <w:color w:val="auto"/>
          <w:kern w:val="2"/>
          <w:sz w:val="21"/>
          <w:szCs w:val="24"/>
          <w:highlight w:val="none"/>
          <w:lang w:val="en-US" w:eastAsia="zh-CN" w:bidi="ar-SA"/>
        </w:rPr>
        <w:t>向</w:t>
      </w:r>
      <w:r>
        <w:rPr>
          <w:rFonts w:hint="eastAsia" w:cs="Times New Roman"/>
          <w:color w:val="auto"/>
          <w:kern w:val="2"/>
          <w:sz w:val="21"/>
          <w:szCs w:val="24"/>
          <w:highlight w:val="none"/>
          <w:lang w:val="en-US" w:eastAsia="zh-CN" w:bidi="ar-SA"/>
        </w:rPr>
        <w:t>采购</w:t>
      </w:r>
      <w:r>
        <w:rPr>
          <w:rFonts w:hint="eastAsia" w:ascii="Times New Roman" w:hAnsi="Times New Roman" w:eastAsia="宋体" w:cs="Times New Roman"/>
          <w:color w:val="auto"/>
          <w:kern w:val="2"/>
          <w:sz w:val="21"/>
          <w:szCs w:val="24"/>
          <w:highlight w:val="none"/>
          <w:lang w:val="en-US" w:eastAsia="zh-CN" w:bidi="ar-SA"/>
        </w:rPr>
        <w:t>方提供与付款金额足额的增值税专用发票。</w:t>
      </w:r>
    </w:p>
    <w:p w14:paraId="7AE9D548">
      <w:pPr>
        <w:pStyle w:val="18"/>
        <w:keepNext w:val="0"/>
        <w:keepLines w:val="0"/>
        <w:pageBreakBefore w:val="0"/>
        <w:widowControl w:val="0"/>
        <w:kinsoku/>
        <w:wordWrap/>
        <w:overflowPunct/>
        <w:topLinePunct w:val="0"/>
        <w:autoSpaceDE/>
        <w:autoSpaceDN/>
        <w:bidi w:val="0"/>
        <w:adjustRightInd/>
        <w:snapToGrid/>
        <w:spacing w:line="360" w:lineRule="auto"/>
        <w:ind w:firstLine="420"/>
        <w:rPr>
          <w:rFonts w:hint="eastAsia" w:ascii="Times New Roman" w:hAnsi="Times New Roman" w:eastAsia="宋体" w:cs="Times New Roman"/>
          <w:color w:val="auto"/>
          <w:kern w:val="2"/>
          <w:sz w:val="21"/>
          <w:szCs w:val="24"/>
          <w:highlight w:val="none"/>
          <w:lang w:val="en-US" w:eastAsia="zh-CN" w:bidi="ar-SA"/>
        </w:rPr>
      </w:pPr>
    </w:p>
    <w:p w14:paraId="51228517">
      <w:pPr>
        <w:spacing w:line="360" w:lineRule="auto"/>
        <w:ind w:firstLine="420" w:firstLineChars="200"/>
        <w:rPr>
          <w:rFonts w:hint="eastAsia" w:ascii="Times New Roman" w:hAnsi="Times New Roman" w:eastAsia="宋体" w:cs="Times New Roman"/>
          <w:color w:val="auto"/>
          <w:highlight w:val="none"/>
          <w:lang w:val="en-US" w:eastAsia="zh-CN"/>
        </w:rPr>
      </w:pPr>
    </w:p>
    <w:p w14:paraId="4777C5EA">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br w:type="page"/>
      </w:r>
    </w:p>
    <w:p w14:paraId="50E2EABB">
      <w:pPr>
        <w:pStyle w:val="13"/>
        <w:adjustRightInd w:val="0"/>
        <w:snapToGrid w:val="0"/>
        <w:spacing w:beforeLines="50" w:afterLines="50" w:line="360" w:lineRule="auto"/>
        <w:jc w:val="center"/>
        <w:rPr>
          <w:rStyle w:val="28"/>
          <w:rFonts w:hAnsi="宋体" w:cs="宋体"/>
          <w:color w:val="auto"/>
          <w:sz w:val="32"/>
          <w:szCs w:val="32"/>
          <w:highlight w:val="none"/>
        </w:rPr>
      </w:pPr>
      <w:r>
        <w:rPr>
          <w:rStyle w:val="28"/>
          <w:rFonts w:hint="eastAsia" w:hAnsi="宋体" w:cs="宋体"/>
          <w:color w:val="auto"/>
          <w:sz w:val="32"/>
          <w:szCs w:val="32"/>
          <w:highlight w:val="none"/>
        </w:rPr>
        <w:t>第</w:t>
      </w:r>
      <w:r>
        <w:rPr>
          <w:rStyle w:val="28"/>
          <w:rFonts w:hint="eastAsia" w:hAnsi="宋体" w:cs="宋体"/>
          <w:color w:val="auto"/>
          <w:sz w:val="32"/>
          <w:szCs w:val="32"/>
          <w:highlight w:val="none"/>
          <w:lang w:eastAsia="zh-CN"/>
        </w:rPr>
        <w:t>五</w:t>
      </w:r>
      <w:r>
        <w:rPr>
          <w:rStyle w:val="28"/>
          <w:rFonts w:hint="eastAsia" w:hAnsi="宋体" w:cs="宋体"/>
          <w:color w:val="auto"/>
          <w:sz w:val="32"/>
          <w:szCs w:val="32"/>
          <w:highlight w:val="none"/>
        </w:rPr>
        <w:t>章 响应文件组成</w:t>
      </w:r>
    </w:p>
    <w:p w14:paraId="5BA3866B">
      <w:pPr>
        <w:spacing w:line="600" w:lineRule="exact"/>
        <w:rPr>
          <w:rFonts w:ascii="宋体" w:hAnsi="宋体" w:cs="宋体"/>
          <w:color w:val="auto"/>
          <w:sz w:val="24"/>
          <w:highlight w:val="none"/>
        </w:rPr>
      </w:pPr>
      <w:r>
        <w:rPr>
          <w:rFonts w:hint="eastAsia" w:ascii="宋体" w:hAnsi="宋体" w:cs="宋体"/>
          <w:color w:val="auto"/>
          <w:sz w:val="24"/>
          <w:highlight w:val="none"/>
        </w:rPr>
        <w:t>供应商的响应文件应包含以下</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个部分：</w:t>
      </w:r>
    </w:p>
    <w:p w14:paraId="32A73925">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响应声明</w:t>
      </w:r>
    </w:p>
    <w:p w14:paraId="0B7DFBC8">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供应商资格证明材料</w:t>
      </w:r>
    </w:p>
    <w:p w14:paraId="4B6983A3">
      <w:pPr>
        <w:numPr>
          <w:ilvl w:val="0"/>
          <w:numId w:val="5"/>
        </w:num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4"/>
          <w:highlight w:val="none"/>
        </w:rPr>
        <w:t>报价一览表</w:t>
      </w:r>
    </w:p>
    <w:p w14:paraId="01E596ED">
      <w:pPr>
        <w:numPr>
          <w:ilvl w:val="0"/>
          <w:numId w:val="5"/>
        </w:numPr>
        <w:adjustRightInd w:val="0"/>
        <w:snapToGrid w:val="0"/>
        <w:spacing w:line="600" w:lineRule="exact"/>
        <w:jc w:val="left"/>
        <w:outlineLvl w:val="0"/>
        <w:rPr>
          <w:rFonts w:hint="eastAsia" w:ascii="宋体" w:hAnsi="宋体" w:cs="宋体"/>
          <w:b/>
          <w:color w:val="auto"/>
          <w:sz w:val="24"/>
          <w:highlight w:val="none"/>
        </w:rPr>
      </w:pPr>
      <w:r>
        <w:rPr>
          <w:rFonts w:hint="eastAsia" w:ascii="宋体" w:hAnsi="宋体" w:cs="宋体"/>
          <w:b/>
          <w:color w:val="auto"/>
          <w:sz w:val="24"/>
          <w:highlight w:val="none"/>
        </w:rPr>
        <w:t>供应商认为需要提供的其它资料</w:t>
      </w:r>
    </w:p>
    <w:p w14:paraId="0BE9041C">
      <w:pPr>
        <w:pStyle w:val="2"/>
        <w:ind w:firstLine="482"/>
        <w:rPr>
          <w:rFonts w:ascii="宋体" w:hAnsi="宋体" w:cs="宋体"/>
          <w:b/>
          <w:color w:val="auto"/>
          <w:sz w:val="24"/>
          <w:highlight w:val="none"/>
        </w:rPr>
      </w:pPr>
      <w:r>
        <w:rPr>
          <w:rFonts w:hint="eastAsia" w:ascii="宋体" w:hAnsi="宋体" w:cs="宋体"/>
          <w:b/>
          <w:color w:val="auto"/>
          <w:sz w:val="24"/>
          <w:highlight w:val="none"/>
        </w:rPr>
        <w:br w:type="page"/>
      </w:r>
    </w:p>
    <w:p w14:paraId="47811C3D">
      <w:pPr>
        <w:pStyle w:val="13"/>
        <w:adjustRightInd w:val="0"/>
        <w:snapToGrid w:val="0"/>
        <w:spacing w:line="400" w:lineRule="atLeast"/>
        <w:jc w:val="center"/>
        <w:rPr>
          <w:rFonts w:hAnsi="宋体" w:cs="宋体"/>
          <w:b/>
          <w:color w:val="auto"/>
          <w:sz w:val="84"/>
          <w:szCs w:val="84"/>
          <w:highlight w:val="none"/>
        </w:rPr>
      </w:pPr>
    </w:p>
    <w:p w14:paraId="68C59F6C">
      <w:pPr>
        <w:pStyle w:val="13"/>
        <w:adjustRightInd w:val="0"/>
        <w:snapToGrid w:val="0"/>
        <w:spacing w:line="400" w:lineRule="atLeast"/>
        <w:jc w:val="center"/>
        <w:rPr>
          <w:rFonts w:hAnsi="宋体" w:cs="宋体"/>
          <w:b/>
          <w:color w:val="auto"/>
          <w:sz w:val="84"/>
          <w:szCs w:val="84"/>
          <w:highlight w:val="none"/>
        </w:rPr>
      </w:pPr>
      <w:r>
        <w:rPr>
          <w:rFonts w:hint="eastAsia" w:hAnsi="宋体" w:cs="宋体"/>
          <w:b/>
          <w:color w:val="auto"/>
          <w:sz w:val="84"/>
          <w:szCs w:val="84"/>
          <w:highlight w:val="none"/>
          <w:lang w:val="en-US" w:eastAsia="zh-CN"/>
        </w:rPr>
        <w:t>竞谈采购</w:t>
      </w:r>
    </w:p>
    <w:p w14:paraId="5BF0A515">
      <w:pPr>
        <w:adjustRightInd w:val="0"/>
        <w:snapToGrid w:val="0"/>
        <w:spacing w:line="400" w:lineRule="atLeast"/>
        <w:jc w:val="center"/>
        <w:rPr>
          <w:rFonts w:ascii="宋体" w:hAnsi="宋体" w:cs="宋体"/>
          <w:b/>
          <w:color w:val="auto"/>
          <w:sz w:val="44"/>
          <w:szCs w:val="44"/>
          <w:highlight w:val="none"/>
        </w:rPr>
      </w:pPr>
      <w:r>
        <w:rPr>
          <w:rFonts w:hint="eastAsia" w:ascii="宋体" w:hAnsi="宋体" w:cs="宋体"/>
          <w:b/>
          <w:color w:val="auto"/>
          <w:sz w:val="84"/>
          <w:szCs w:val="84"/>
          <w:highlight w:val="none"/>
        </w:rPr>
        <w:t>响 应 文 件</w:t>
      </w:r>
    </w:p>
    <w:p w14:paraId="25DF4074">
      <w:pPr>
        <w:spacing w:beforeLines="100"/>
        <w:jc w:val="center"/>
        <w:rPr>
          <w:rFonts w:ascii="宋体" w:hAnsi="宋体" w:cs="宋体"/>
          <w:b/>
          <w:color w:val="auto"/>
          <w:sz w:val="44"/>
          <w:szCs w:val="44"/>
          <w:highlight w:val="none"/>
        </w:rPr>
      </w:pPr>
    </w:p>
    <w:p w14:paraId="6C3099C9">
      <w:pPr>
        <w:spacing w:beforeLines="100"/>
        <w:jc w:val="center"/>
        <w:rPr>
          <w:rFonts w:ascii="宋体" w:hAnsi="宋体" w:cs="宋体"/>
          <w:b/>
          <w:color w:val="auto"/>
          <w:sz w:val="44"/>
          <w:szCs w:val="44"/>
          <w:highlight w:val="none"/>
        </w:rPr>
      </w:pPr>
    </w:p>
    <w:p w14:paraId="186793F3">
      <w:pPr>
        <w:rPr>
          <w:rFonts w:ascii="宋体" w:hAnsi="宋体" w:cs="宋体"/>
          <w:b/>
          <w:color w:val="auto"/>
          <w:sz w:val="32"/>
          <w:szCs w:val="32"/>
          <w:highlight w:val="none"/>
        </w:rPr>
      </w:pPr>
    </w:p>
    <w:p w14:paraId="45EE17C3">
      <w:pPr>
        <w:pStyle w:val="26"/>
        <w:rPr>
          <w:color w:val="auto"/>
          <w:highlight w:val="none"/>
        </w:rPr>
      </w:pPr>
    </w:p>
    <w:p w14:paraId="5C4F8830">
      <w:pPr>
        <w:adjustRightInd w:val="0"/>
        <w:snapToGrid w:val="0"/>
        <w:ind w:firstLine="1506" w:firstLineChars="500"/>
        <w:outlineLvl w:val="0"/>
        <w:rPr>
          <w:rFonts w:ascii="宋体" w:hAnsi="宋体" w:cs="宋体"/>
          <w:b/>
          <w:color w:val="auto"/>
          <w:sz w:val="30"/>
          <w:szCs w:val="30"/>
          <w:highlight w:val="none"/>
        </w:rPr>
      </w:pPr>
    </w:p>
    <w:p w14:paraId="353F0675">
      <w:pPr>
        <w:spacing w:line="720" w:lineRule="auto"/>
        <w:ind w:left="2401" w:leftChars="426" w:hanging="1506" w:hangingChars="500"/>
        <w:jc w:val="left"/>
        <w:rPr>
          <w:rFonts w:hint="eastAsia" w:ascii="宋体" w:hAnsi="宋体" w:cs="宋体"/>
          <w:b/>
          <w:color w:val="auto"/>
          <w:sz w:val="30"/>
          <w:szCs w:val="30"/>
          <w:highlight w:val="none"/>
          <w:u w:val="singl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lang w:eastAsia="zh-CN"/>
        </w:rPr>
        <w:t>株洲北斗应用与信息技术产业示范基地配套基础设施项目（一期）</w:t>
      </w:r>
      <w:r>
        <w:rPr>
          <w:rFonts w:hint="eastAsia" w:ascii="宋体" w:hAnsi="宋体" w:cs="宋体"/>
          <w:b/>
          <w:color w:val="auto"/>
          <w:sz w:val="30"/>
          <w:szCs w:val="30"/>
          <w:highlight w:val="none"/>
          <w:u w:val="single"/>
          <w:lang w:val="en-US" w:eastAsia="zh-CN"/>
        </w:rPr>
        <w:t xml:space="preserve">厂房钢结构材料采购 </w:t>
      </w:r>
      <w:r>
        <w:rPr>
          <w:rFonts w:hint="eastAsia" w:ascii="宋体" w:hAnsi="宋体" w:cs="宋体"/>
          <w:b/>
          <w:color w:val="auto"/>
          <w:sz w:val="30"/>
          <w:szCs w:val="30"/>
          <w:highlight w:val="none"/>
          <w:u w:val="none"/>
          <w:lang w:val="en-US" w:eastAsia="zh-CN"/>
        </w:rPr>
        <w:t xml:space="preserve">     </w:t>
      </w:r>
    </w:p>
    <w:p w14:paraId="1808C182">
      <w:pPr>
        <w:spacing w:line="720" w:lineRule="auto"/>
        <w:ind w:left="2401" w:leftChars="426" w:hanging="1506" w:hangingChars="500"/>
        <w:jc w:val="left"/>
        <w:rPr>
          <w:rFonts w:hint="eastAsia" w:ascii="宋体" w:hAnsi="宋体" w:eastAsia="宋体" w:cs="宋体"/>
          <w:b/>
          <w:color w:val="auto"/>
          <w:sz w:val="30"/>
          <w:szCs w:val="30"/>
          <w:highlight w:val="none"/>
          <w:u w:val="singl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lang w:eastAsia="zh-CN"/>
        </w:rPr>
        <w:t>株洲市云龙发展集团城市建设有限公司</w:t>
      </w:r>
    </w:p>
    <w:p w14:paraId="40A6CEF9">
      <w:pPr>
        <w:spacing w:line="720" w:lineRule="auto"/>
        <w:ind w:firstLine="904" w:firstLineChars="300"/>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供应商名称：</w:t>
      </w:r>
      <w:r>
        <w:rPr>
          <w:rFonts w:hint="eastAsia" w:ascii="宋体" w:hAnsi="宋体" w:cs="宋体"/>
          <w:b/>
          <w:color w:val="auto"/>
          <w:sz w:val="30"/>
          <w:szCs w:val="30"/>
          <w:highlight w:val="none"/>
          <w:u w:val="single"/>
        </w:rPr>
        <w:t xml:space="preserve">      （盖单位章）        </w:t>
      </w:r>
    </w:p>
    <w:p w14:paraId="56B2C8B6">
      <w:pPr>
        <w:adjustRightInd w:val="0"/>
        <w:snapToGrid w:val="0"/>
        <w:spacing w:line="360" w:lineRule="auto"/>
        <w:outlineLvl w:val="0"/>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4A876D13">
      <w:pPr>
        <w:adjustRightInd w:val="0"/>
        <w:snapToGrid w:val="0"/>
        <w:spacing w:line="360" w:lineRule="auto"/>
        <w:ind w:firstLine="904" w:firstLineChars="300"/>
        <w:outlineLvl w:val="0"/>
        <w:rPr>
          <w:rFonts w:ascii="宋体" w:hAnsi="宋体" w:cs="宋体"/>
          <w:b/>
          <w:color w:val="auto"/>
          <w:sz w:val="30"/>
          <w:szCs w:val="30"/>
          <w:highlight w:val="none"/>
        </w:rPr>
      </w:pPr>
      <w:r>
        <w:rPr>
          <w:rFonts w:hint="eastAsia" w:ascii="宋体" w:hAnsi="宋体" w:cs="宋体"/>
          <w:b/>
          <w:color w:val="auto"/>
          <w:sz w:val="30"/>
          <w:szCs w:val="30"/>
          <w:highlight w:val="none"/>
        </w:rPr>
        <w:t>日      期：         年      月      日</w:t>
      </w:r>
    </w:p>
    <w:p w14:paraId="798FB207">
      <w:pPr>
        <w:adjustRightInd w:val="0"/>
        <w:snapToGrid w:val="0"/>
        <w:spacing w:line="600" w:lineRule="exact"/>
        <w:jc w:val="left"/>
        <w:outlineLvl w:val="0"/>
        <w:rPr>
          <w:rFonts w:ascii="宋体" w:hAnsi="宋体" w:cs="宋体"/>
          <w:b/>
          <w:color w:val="auto"/>
          <w:sz w:val="24"/>
          <w:highlight w:val="none"/>
        </w:rPr>
      </w:pPr>
      <w:r>
        <w:rPr>
          <w:rFonts w:hint="eastAsia" w:ascii="宋体" w:hAnsi="宋体" w:cs="宋体"/>
          <w:b/>
          <w:color w:val="auto"/>
          <w:sz w:val="28"/>
          <w:szCs w:val="28"/>
          <w:highlight w:val="none"/>
        </w:rPr>
        <w:t xml:space="preserve">（说明：当供应商采用硬质或塑胶等外封面不便签署时，外封面可不签署，但应在响应文件内按此格式设有内封面，并按此格式签署。） </w:t>
      </w:r>
    </w:p>
    <w:p w14:paraId="7290560E">
      <w:pPr>
        <w:adjustRightInd w:val="0"/>
        <w:snapToGrid w:val="0"/>
        <w:spacing w:line="360" w:lineRule="auto"/>
        <w:jc w:val="center"/>
        <w:outlineLvl w:val="0"/>
        <w:rPr>
          <w:rFonts w:ascii="黑体" w:eastAsia="黑体"/>
          <w:color w:val="auto"/>
          <w:sz w:val="32"/>
          <w:szCs w:val="32"/>
          <w:highlight w:val="none"/>
        </w:rPr>
      </w:pPr>
      <w:bookmarkStart w:id="0" w:name="_Toc12115"/>
      <w:bookmarkStart w:id="1" w:name="_Toc23249"/>
      <w:bookmarkStart w:id="2" w:name="_Toc10664"/>
      <w:r>
        <w:rPr>
          <w:rFonts w:hint="eastAsia" w:ascii="黑体" w:eastAsia="黑体"/>
          <w:color w:val="auto"/>
          <w:sz w:val="32"/>
          <w:szCs w:val="32"/>
          <w:highlight w:val="none"/>
        </w:rPr>
        <w:br w:type="page"/>
      </w:r>
      <w:r>
        <w:rPr>
          <w:rFonts w:hint="eastAsia" w:ascii="黑体" w:eastAsia="黑体"/>
          <w:color w:val="auto"/>
          <w:sz w:val="32"/>
          <w:szCs w:val="32"/>
          <w:highlight w:val="none"/>
        </w:rPr>
        <w:t>一、</w:t>
      </w:r>
      <w:r>
        <w:rPr>
          <w:rFonts w:hint="eastAsia" w:ascii="黑体" w:hAnsi="宋体" w:eastAsia="黑体"/>
          <w:color w:val="auto"/>
          <w:sz w:val="32"/>
          <w:szCs w:val="32"/>
          <w:highlight w:val="none"/>
        </w:rPr>
        <w:t>响应声明</w:t>
      </w:r>
      <w:bookmarkEnd w:id="0"/>
      <w:bookmarkEnd w:id="1"/>
      <w:bookmarkEnd w:id="2"/>
    </w:p>
    <w:p w14:paraId="05370ED7">
      <w:pPr>
        <w:adjustRightInd w:val="0"/>
        <w:snapToGrid w:val="0"/>
        <w:spacing w:line="360" w:lineRule="auto"/>
        <w:rPr>
          <w:rFonts w:ascii="仿宋_GB2312" w:hAnsi="宋体" w:eastAsia="仿宋_GB2312"/>
          <w:color w:val="auto"/>
          <w:sz w:val="24"/>
          <w:highlight w:val="none"/>
        </w:rPr>
      </w:pPr>
    </w:p>
    <w:p w14:paraId="339625A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株洲市云龙发展集团城市建设有限公司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14295E39">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hAnsi="宋体"/>
          <w:b w:val="0"/>
          <w:bCs w:val="0"/>
          <w:color w:val="auto"/>
          <w:sz w:val="21"/>
          <w:szCs w:val="21"/>
          <w:highlight w:val="none"/>
          <w:u w:val="single"/>
          <w:lang w:val="en-US" w:eastAsia="zh-CN"/>
        </w:rPr>
        <w:t>株洲北斗应用与信息技术产业示范基地配套基础设施项目（一期）厂房钢结构材料采购</w:t>
      </w:r>
      <w:r>
        <w:rPr>
          <w:rFonts w:hint="eastAsia" w:ascii="宋体" w:hAnsi="宋体"/>
          <w:color w:val="auto"/>
          <w:szCs w:val="21"/>
          <w:highlight w:val="none"/>
          <w:u w:val="single"/>
        </w:rPr>
        <w:t>(项目名称)</w:t>
      </w:r>
      <w:r>
        <w:rPr>
          <w:rFonts w:hint="eastAsia" w:ascii="宋体" w:hAnsi="宋体"/>
          <w:color w:val="auto"/>
          <w:szCs w:val="21"/>
          <w:highlight w:val="none"/>
        </w:rPr>
        <w:t>的采购文件的全部内容，知悉参加采购活动的风险，</w:t>
      </w:r>
      <w:r>
        <w:rPr>
          <w:rFonts w:hint="eastAsia" w:ascii="宋体" w:hAnsi="宋体" w:cs="宋体"/>
          <w:color w:val="auto"/>
          <w:szCs w:val="21"/>
          <w:highlight w:val="none"/>
        </w:rPr>
        <w:t>同时理解贵方的采购行为为企业采购，非政府采购与招标，愿意对参与贵方项目知悉的项目情况予以保密，并</w:t>
      </w:r>
      <w:r>
        <w:rPr>
          <w:rFonts w:hint="eastAsia" w:ascii="宋体" w:hAnsi="宋体"/>
          <w:color w:val="auto"/>
          <w:szCs w:val="21"/>
          <w:highlight w:val="none"/>
        </w:rPr>
        <w:t>承诺接受采购文件的全部条款且无任何异议。</w:t>
      </w:r>
    </w:p>
    <w:p w14:paraId="2E827943">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一、我方同意在采购文件中规定的提交响应文件截止时间起</w:t>
      </w:r>
      <w:r>
        <w:rPr>
          <w:rFonts w:hint="eastAsia" w:ascii="宋体" w:hAnsi="宋体"/>
          <w:color w:val="auto"/>
          <w:szCs w:val="21"/>
          <w:highlight w:val="none"/>
          <w:u w:val="single"/>
        </w:rPr>
        <w:t xml:space="preserve">    </w:t>
      </w:r>
      <w:r>
        <w:rPr>
          <w:rFonts w:hint="eastAsia" w:ascii="宋体" w:hAnsi="宋体"/>
          <w:color w:val="auto"/>
          <w:szCs w:val="21"/>
          <w:highlight w:val="none"/>
        </w:rPr>
        <w:t>日内(响应文件有效期)遵守本响应文件中的承诺且在此期限期满之前均具有法律约束力。</w:t>
      </w:r>
    </w:p>
    <w:p w14:paraId="095B078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二、我方提交响应文件正本一份和副本一式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份，并保证响应文件提供的数据和材料是真实、准确的。否则，愿承担被取消成交资格、列入企业不良行为记录名单、在一至三年内禁止参加贵方组织的企业采购活动。 </w:t>
      </w:r>
    </w:p>
    <w:p w14:paraId="179A1844">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三、我方愿意向贵方提供任何与本项采购有关的数据、情况和技术资料。若贵方需要，我方愿意提供我方作出的一切承诺的证明材料。</w:t>
      </w:r>
    </w:p>
    <w:p w14:paraId="70D2D3AA">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四、我方承诺遵守采购文件的有关规定，保证在获得成交资格后，按照采购文件确定的事项签订采购合同，履行双方所签订的合同，并承担合同规定的责任和义务。</w:t>
      </w:r>
    </w:p>
    <w:p w14:paraId="73873F6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五、与本次采购有关的一切正式往来信函请寄：</w:t>
      </w:r>
    </w:p>
    <w:p w14:paraId="5EF52FD7">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D07C35">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5F645239">
      <w:pPr>
        <w:adjustRightInd w:val="0"/>
        <w:snapToGrid w:val="0"/>
        <w:spacing w:beforeLines="50" w:line="360" w:lineRule="auto"/>
        <w:rPr>
          <w:rFonts w:ascii="宋体" w:hAnsi="宋体"/>
          <w:color w:val="auto"/>
          <w:szCs w:val="21"/>
          <w:highlight w:val="none"/>
        </w:rPr>
      </w:pPr>
    </w:p>
    <w:p w14:paraId="18779F3A">
      <w:pPr>
        <w:pStyle w:val="2"/>
        <w:rPr>
          <w:color w:val="auto"/>
          <w:highlight w:val="none"/>
        </w:rPr>
      </w:pPr>
    </w:p>
    <w:p w14:paraId="6ABA7F1F">
      <w:pPr>
        <w:adjustRightInd w:val="0"/>
        <w:snapToGrid w:val="0"/>
        <w:spacing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p>
    <w:p w14:paraId="69CEAF18">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147636">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11B50C2">
      <w:pPr>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br w:type="page"/>
      </w:r>
    </w:p>
    <w:p w14:paraId="3FD0E5FC">
      <w:pPr>
        <w:pStyle w:val="2"/>
        <w:ind w:left="0" w:leftChars="0" w:firstLine="0" w:firstLineChars="0"/>
        <w:jc w:val="center"/>
        <w:rPr>
          <w:rFonts w:ascii="黑体" w:eastAsia="黑体"/>
          <w:color w:val="auto"/>
          <w:sz w:val="32"/>
          <w:szCs w:val="32"/>
          <w:highlight w:val="none"/>
        </w:rPr>
      </w:pPr>
      <w:r>
        <w:rPr>
          <w:rFonts w:hint="eastAsia" w:ascii="黑体" w:eastAsia="黑体"/>
          <w:color w:val="auto"/>
          <w:sz w:val="32"/>
          <w:szCs w:val="32"/>
          <w:highlight w:val="none"/>
        </w:rPr>
        <w:t>二、供应商资格证明材料</w:t>
      </w:r>
    </w:p>
    <w:p w14:paraId="400AE03D">
      <w:pPr>
        <w:tabs>
          <w:tab w:val="left" w:pos="4725"/>
        </w:tabs>
        <w:adjustRightInd w:val="0"/>
        <w:snapToGrid w:val="0"/>
        <w:spacing w:before="158" w:line="360" w:lineRule="auto"/>
        <w:ind w:firstLine="420" w:firstLineChars="200"/>
        <w:rPr>
          <w:rFonts w:ascii="宋体" w:hAnsi="宋体"/>
          <w:color w:val="auto"/>
          <w:szCs w:val="21"/>
          <w:highlight w:val="none"/>
        </w:rPr>
      </w:pPr>
    </w:p>
    <w:p w14:paraId="27EC7D3E">
      <w:pPr>
        <w:pStyle w:val="13"/>
        <w:ind w:left="1935" w:hanging="1095"/>
        <w:jc w:val="center"/>
        <w:rPr>
          <w:rFonts w:hAnsi="宋体" w:cs="Times New Roman"/>
          <w:b/>
          <w:bCs/>
          <w:color w:val="auto"/>
          <w:sz w:val="24"/>
          <w:szCs w:val="24"/>
          <w:highlight w:val="none"/>
        </w:rPr>
      </w:pPr>
      <w:r>
        <w:rPr>
          <w:rFonts w:hint="eastAsia" w:hAnsi="宋体" w:cs="Times New Roman"/>
          <w:b/>
          <w:bCs/>
          <w:color w:val="auto"/>
          <w:sz w:val="24"/>
          <w:szCs w:val="24"/>
          <w:highlight w:val="none"/>
        </w:rPr>
        <w:t>填写须知</w:t>
      </w:r>
    </w:p>
    <w:p w14:paraId="29E381B5">
      <w:pPr>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供应商</w:t>
      </w:r>
      <w:r>
        <w:rPr>
          <w:rFonts w:hint="eastAsia" w:ascii="宋体" w:hAnsi="宋体"/>
          <w:b/>
          <w:bCs/>
          <w:color w:val="auto"/>
          <w:szCs w:val="21"/>
          <w:highlight w:val="none"/>
        </w:rPr>
        <w:t>有下列情形之一的，视为无效响应：</w:t>
      </w:r>
    </w:p>
    <w:p w14:paraId="4F1E5A58">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（一）有一项资格证明文件未提交的；</w:t>
      </w:r>
    </w:p>
    <w:p w14:paraId="2C411B7C">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（二）提供不符合要求或虚假资格证明文件的；</w:t>
      </w:r>
    </w:p>
    <w:p w14:paraId="7EC9475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（三）资格证明文件过了有效期的；</w:t>
      </w:r>
    </w:p>
    <w:p w14:paraId="3AF509E1">
      <w:pPr>
        <w:adjustRightInd w:val="0"/>
        <w:snapToGrid w:val="0"/>
        <w:spacing w:before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（四）资格证明文件复印件未加盖供应商公章的。</w:t>
      </w:r>
    </w:p>
    <w:p w14:paraId="4947ED53">
      <w:pPr>
        <w:tabs>
          <w:tab w:val="left" w:pos="4725"/>
        </w:tabs>
        <w:adjustRightInd w:val="0"/>
        <w:snapToGrid w:val="0"/>
        <w:spacing w:beforeLines="50" w:line="360" w:lineRule="auto"/>
        <w:rPr>
          <w:rFonts w:ascii="宋体" w:hAnsi="宋体"/>
          <w:b/>
          <w:bCs/>
          <w:color w:val="auto"/>
          <w:szCs w:val="21"/>
          <w:highlight w:val="none"/>
        </w:rPr>
      </w:pPr>
      <w:r>
        <w:rPr>
          <w:rFonts w:hint="eastAsia" w:ascii="宋体" w:hAnsi="宋体"/>
          <w:b/>
          <w:bCs/>
          <w:color w:val="auto"/>
          <w:szCs w:val="21"/>
          <w:highlight w:val="none"/>
        </w:rPr>
        <w:t>二、</w:t>
      </w:r>
      <w:r>
        <w:rPr>
          <w:rFonts w:hint="eastAsia" w:ascii="宋体" w:hAnsi="宋体"/>
          <w:b/>
          <w:color w:val="auto"/>
          <w:szCs w:val="21"/>
          <w:highlight w:val="none"/>
        </w:rPr>
        <w:t>供应商</w:t>
      </w:r>
      <w:r>
        <w:rPr>
          <w:rFonts w:hint="eastAsia" w:ascii="宋体" w:hAnsi="宋体"/>
          <w:b/>
          <w:bCs/>
          <w:color w:val="auto"/>
          <w:szCs w:val="21"/>
          <w:highlight w:val="none"/>
        </w:rPr>
        <w:t>应提供的证明材料</w:t>
      </w:r>
    </w:p>
    <w:p w14:paraId="5A88B5C0">
      <w:pPr>
        <w:tabs>
          <w:tab w:val="left" w:pos="4725"/>
        </w:tabs>
        <w:adjustRightInd w:val="0"/>
        <w:snapToGrid w:val="0"/>
        <w:spacing w:before="158" w:line="360" w:lineRule="auto"/>
        <w:ind w:firstLine="420" w:firstLineChars="200"/>
        <w:rPr>
          <w:rFonts w:ascii="宋体" w:hAns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提供下列证明材料，以满足第二章“供应商须知”第3.1</w:t>
      </w:r>
      <w:r>
        <w:rPr>
          <w:rFonts w:hint="eastAsia" w:ascii="宋体" w:hAnsi="宋体"/>
          <w:bCs/>
          <w:color w:val="auto"/>
          <w:szCs w:val="21"/>
          <w:highlight w:val="none"/>
          <w:lang w:val="zh-CN"/>
        </w:rPr>
        <w:t>款</w:t>
      </w:r>
      <w:r>
        <w:rPr>
          <w:rFonts w:hint="eastAsia" w:ascii="宋体" w:hAnsi="宋体"/>
          <w:bCs/>
          <w:color w:val="auto"/>
          <w:szCs w:val="21"/>
          <w:highlight w:val="none"/>
        </w:rPr>
        <w:t>规定的供应商的资格要求：</w:t>
      </w:r>
    </w:p>
    <w:p w14:paraId="1AAB60E5">
      <w:pPr>
        <w:adjustRightInd w:val="0"/>
        <w:snapToGrid w:val="0"/>
        <w:spacing w:before="158" w:line="360" w:lineRule="auto"/>
        <w:ind w:firstLine="420" w:firstLineChars="200"/>
        <w:rPr>
          <w:rFonts w:ascii="宋体" w:hAnsi="宋体"/>
          <w:color w:val="auto"/>
          <w:szCs w:val="21"/>
          <w:highlight w:val="none"/>
        </w:rPr>
      </w:pPr>
      <w:r>
        <w:rPr>
          <w:rFonts w:hint="eastAsia" w:ascii="宋体" w:hAnsi="宋体"/>
          <w:color w:val="auto"/>
          <w:szCs w:val="21"/>
          <w:highlight w:val="none"/>
        </w:rPr>
        <w:t>附件1、法定代表人身份证明或附有法定代表人身份证明的授权委托书</w:t>
      </w:r>
    </w:p>
    <w:p w14:paraId="79ABC9DE">
      <w:pPr>
        <w:adjustRightInd w:val="0"/>
        <w:snapToGrid w:val="0"/>
        <w:spacing w:before="158"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附件2、营业执照复印件</w:t>
      </w:r>
      <w:r>
        <w:rPr>
          <w:rFonts w:hint="eastAsia" w:ascii="宋体" w:hAnsi="宋体"/>
          <w:color w:val="auto"/>
          <w:szCs w:val="21"/>
          <w:highlight w:val="none"/>
          <w:lang w:eastAsia="zh-CN"/>
        </w:rPr>
        <w:t>、开户许可证</w:t>
      </w:r>
    </w:p>
    <w:p w14:paraId="64E7C060">
      <w:pPr>
        <w:adjustRightInd w:val="0"/>
        <w:snapToGrid w:val="0"/>
        <w:spacing w:line="360" w:lineRule="auto"/>
        <w:outlineLvl w:val="0"/>
        <w:rPr>
          <w:rFonts w:ascii="黑体" w:hAnsi="华文中宋" w:eastAsia="黑体"/>
          <w:color w:val="auto"/>
          <w:sz w:val="28"/>
          <w:szCs w:val="28"/>
          <w:highlight w:val="none"/>
        </w:rPr>
      </w:pPr>
      <w:r>
        <w:rPr>
          <w:rFonts w:ascii="黑体" w:hAnsi="华文中宋" w:eastAsia="黑体"/>
          <w:bCs/>
          <w:color w:val="auto"/>
          <w:sz w:val="28"/>
          <w:szCs w:val="28"/>
          <w:highlight w:val="none"/>
        </w:rPr>
        <w:br w:type="page"/>
      </w:r>
      <w:r>
        <w:rPr>
          <w:rFonts w:hint="eastAsia" w:ascii="黑体" w:hAnsi="华文中宋" w:eastAsia="黑体"/>
          <w:color w:val="auto"/>
          <w:sz w:val="28"/>
          <w:szCs w:val="28"/>
          <w:highlight w:val="none"/>
        </w:rPr>
        <w:t xml:space="preserve">附件1  </w:t>
      </w:r>
    </w:p>
    <w:p w14:paraId="17F04124">
      <w:pPr>
        <w:adjustRightInd w:val="0"/>
        <w:snapToGrid w:val="0"/>
        <w:spacing w:line="360" w:lineRule="auto"/>
        <w:jc w:val="center"/>
        <w:outlineLvl w:val="0"/>
        <w:rPr>
          <w:rFonts w:ascii="黑体" w:hAnsi="华文中宋" w:eastAsia="黑体"/>
          <w:color w:val="auto"/>
          <w:sz w:val="28"/>
          <w:szCs w:val="28"/>
          <w:highlight w:val="none"/>
        </w:rPr>
      </w:pPr>
      <w:r>
        <w:rPr>
          <w:rFonts w:hint="eastAsia" w:ascii="黑体" w:hAnsi="华文中宋" w:eastAsia="黑体"/>
          <w:color w:val="auto"/>
          <w:sz w:val="28"/>
          <w:szCs w:val="28"/>
          <w:highlight w:val="none"/>
        </w:rPr>
        <w:t>法定代表人身份证明或附有法定代表人身份证明的授权委托书</w:t>
      </w:r>
    </w:p>
    <w:p w14:paraId="7D067D90">
      <w:pPr>
        <w:adjustRightInd w:val="0"/>
        <w:snapToGrid w:val="0"/>
        <w:spacing w:line="360" w:lineRule="auto"/>
        <w:jc w:val="center"/>
        <w:outlineLvl w:val="0"/>
        <w:rPr>
          <w:rFonts w:ascii="黑体" w:hAnsi="华文中宋" w:eastAsia="黑体"/>
          <w:color w:val="auto"/>
          <w:sz w:val="32"/>
          <w:szCs w:val="32"/>
          <w:highlight w:val="none"/>
        </w:rPr>
      </w:pPr>
      <w:r>
        <w:rPr>
          <w:rFonts w:hint="eastAsia" w:ascii="黑体" w:hAnsi="华文中宋" w:eastAsia="黑体"/>
          <w:color w:val="auto"/>
          <w:sz w:val="28"/>
          <w:szCs w:val="28"/>
          <w:highlight w:val="none"/>
        </w:rPr>
        <w:t>附件1-1法定代表人授权委托书</w:t>
      </w:r>
    </w:p>
    <w:p w14:paraId="2AC56E96">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（项目名称）响应文件、签订合同和处理有关事宜，其法律后果由我方承担。</w:t>
      </w:r>
    </w:p>
    <w:p w14:paraId="1EC36EA8">
      <w:pPr>
        <w:autoSpaceDE w:val="0"/>
        <w:autoSpaceDN w:val="0"/>
        <w:adjustRightInd w:val="0"/>
        <w:snapToGrid w:val="0"/>
        <w:spacing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B3CFDF7">
      <w:pPr>
        <w:adjustRightInd w:val="0"/>
        <w:snapToGrid w:val="0"/>
        <w:spacing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931E32F">
      <w:pPr>
        <w:adjustRightInd w:val="0"/>
        <w:snapToGrid w:val="0"/>
        <w:spacing w:beforeLines="50" w:line="360" w:lineRule="auto"/>
        <w:ind w:firstLine="435"/>
        <w:rPr>
          <w:rFonts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13BF2D51">
      <w:pPr>
        <w:adjustRightInd w:val="0"/>
        <w:snapToGrid w:val="0"/>
        <w:spacing w:beforeLines="50" w:line="360" w:lineRule="auto"/>
        <w:ind w:firstLine="420" w:firstLineChars="200"/>
        <w:rPr>
          <w:rFonts w:ascii="宋体" w:hAnsi="宋体"/>
          <w:color w:val="auto"/>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70D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2ABA8A9F">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委托代理人身份证正面、背面复印件</w:t>
            </w:r>
          </w:p>
        </w:tc>
      </w:tr>
    </w:tbl>
    <w:p w14:paraId="1016FF62">
      <w:pPr>
        <w:adjustRightInd w:val="0"/>
        <w:snapToGrid w:val="0"/>
        <w:spacing w:beforeLines="5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附：法定代表人身份证明</w:t>
      </w:r>
    </w:p>
    <w:p w14:paraId="26B13128">
      <w:pPr>
        <w:adjustRightInd w:val="0"/>
        <w:snapToGrid w:val="0"/>
        <w:spacing w:beforeLines="50" w:line="360" w:lineRule="auto"/>
        <w:rPr>
          <w:rFonts w:ascii="宋体" w:hAnsi="宋体"/>
          <w:color w:val="auto"/>
          <w:szCs w:val="21"/>
          <w:highlight w:val="none"/>
        </w:rPr>
      </w:pPr>
    </w:p>
    <w:p w14:paraId="77BDF061">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13A98D">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006C3881">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u w:val="single"/>
        </w:rPr>
        <w:t xml:space="preserve">                     </w:t>
      </w:r>
    </w:p>
    <w:p w14:paraId="2A6665F3">
      <w:pPr>
        <w:adjustRightInd w:val="0"/>
        <w:snapToGrid w:val="0"/>
        <w:spacing w:beforeLines="50"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81D641">
      <w:pPr>
        <w:adjustRightInd w:val="0"/>
        <w:snapToGrid w:val="0"/>
        <w:spacing w:beforeLines="50" w:line="360" w:lineRule="auto"/>
        <w:ind w:right="420"/>
        <w:rPr>
          <w:rFonts w:ascii="宋体" w:hAnsi="宋体"/>
          <w:color w:val="auto"/>
          <w:szCs w:val="21"/>
          <w:highlight w:val="none"/>
        </w:rPr>
      </w:pPr>
    </w:p>
    <w:p w14:paraId="3D2E54D9">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4A047B92">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1EE2AA99">
      <w:pPr>
        <w:adjustRightInd w:val="0"/>
        <w:snapToGrid w:val="0"/>
        <w:spacing w:line="360" w:lineRule="auto"/>
        <w:jc w:val="center"/>
        <w:outlineLvl w:val="0"/>
        <w:rPr>
          <w:rFonts w:ascii="黑体" w:hAnsi="华文中宋" w:eastAsia="黑体"/>
          <w:b/>
          <w:color w:val="auto"/>
          <w:sz w:val="28"/>
          <w:szCs w:val="28"/>
          <w:highlight w:val="none"/>
        </w:rPr>
      </w:pPr>
      <w:r>
        <w:rPr>
          <w:rFonts w:hint="eastAsia" w:ascii="黑体" w:hAnsi="华文中宋" w:eastAsia="黑体"/>
          <w:color w:val="auto"/>
          <w:sz w:val="28"/>
          <w:szCs w:val="28"/>
          <w:highlight w:val="none"/>
        </w:rPr>
        <w:t>附件1-2法定代表人身份证明</w:t>
      </w:r>
    </w:p>
    <w:p w14:paraId="0C82280E">
      <w:pPr>
        <w:adjustRightInd w:val="0"/>
        <w:snapToGrid w:val="0"/>
        <w:spacing w:beforeLines="50" w:line="360" w:lineRule="auto"/>
        <w:rPr>
          <w:rFonts w:ascii="宋体" w:hAnsi="宋体"/>
          <w:color w:val="auto"/>
          <w:szCs w:val="21"/>
          <w:highlight w:val="none"/>
        </w:rPr>
      </w:pPr>
    </w:p>
    <w:p w14:paraId="3785E0E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604D14AF">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1CA6AB3">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FBB1685">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47005B4C">
      <w:pPr>
        <w:autoSpaceDE w:val="0"/>
        <w:autoSpaceDN w:val="0"/>
        <w:adjustRightInd w:val="0"/>
        <w:snapToGrid w:val="0"/>
        <w:spacing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5010422">
      <w:pPr>
        <w:autoSpaceDE w:val="0"/>
        <w:autoSpaceDN w:val="0"/>
        <w:adjustRightInd w:val="0"/>
        <w:snapToGrid w:val="0"/>
        <w:spacing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CEF4A9A">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14:paraId="76D7AA28">
      <w:pP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3099F0F">
      <w:pPr>
        <w:autoSpaceDE w:val="0"/>
        <w:autoSpaceDN w:val="0"/>
        <w:adjustRightInd w:val="0"/>
        <w:snapToGrid w:val="0"/>
        <w:spacing w:beforeLines="50" w:line="360" w:lineRule="auto"/>
        <w:jc w:val="left"/>
        <w:rPr>
          <w:rFonts w:ascii="宋体" w:hAnsi="宋体" w:cs="宋体"/>
          <w:color w:val="auto"/>
          <w:kern w:val="0"/>
          <w:szCs w:val="21"/>
          <w:highlight w:val="none"/>
        </w:rPr>
      </w:pPr>
    </w:p>
    <w:tbl>
      <w:tblPr>
        <w:tblStyle w:val="19"/>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B383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4469EBA1">
            <w:pPr>
              <w:adjustRightInd w:val="0"/>
              <w:snapToGrid w:val="0"/>
              <w:spacing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法定代表人身份证正面、背面复印件</w:t>
            </w:r>
          </w:p>
        </w:tc>
      </w:tr>
    </w:tbl>
    <w:p w14:paraId="3EE32309">
      <w:pPr>
        <w:adjustRightInd w:val="0"/>
        <w:snapToGrid w:val="0"/>
        <w:spacing w:beforeLines="50" w:line="360" w:lineRule="auto"/>
        <w:rPr>
          <w:rFonts w:ascii="宋体" w:hAnsi="宋体"/>
          <w:color w:val="auto"/>
          <w:szCs w:val="21"/>
          <w:highlight w:val="none"/>
        </w:rPr>
      </w:pPr>
    </w:p>
    <w:p w14:paraId="4E7B7F0E">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t>供应商名称（单位章）：</w:t>
      </w:r>
      <w:r>
        <w:rPr>
          <w:rFonts w:hint="eastAsia" w:ascii="宋体" w:hAnsi="宋体"/>
          <w:color w:val="auto"/>
          <w:szCs w:val="21"/>
          <w:highlight w:val="none"/>
          <w:u w:val="single"/>
        </w:rPr>
        <w:t xml:space="preserve">                   </w:t>
      </w:r>
    </w:p>
    <w:p w14:paraId="06D2FB49">
      <w:pPr>
        <w:adjustRightInd w:val="0"/>
        <w:snapToGrid w:val="0"/>
        <w:spacing w:line="360" w:lineRule="auto"/>
        <w:outlineLvl w:val="0"/>
        <w:rPr>
          <w:rFonts w:ascii="宋体" w:hAnsi="宋体"/>
          <w:color w:val="auto"/>
          <w:szCs w:val="21"/>
          <w:highlight w:val="none"/>
        </w:rPr>
      </w:pPr>
    </w:p>
    <w:p w14:paraId="60E9F2A7">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8EC45A9">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   </w:t>
      </w:r>
    </w:p>
    <w:p w14:paraId="6EE35C51">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t>（注：此表除响应文件中须提供外，响应文件递交现场还须另备一份，不装入响应文件，与项目响应文件同时分别递交，否则视为无效响应。）</w:t>
      </w:r>
    </w:p>
    <w:p w14:paraId="566A1FFA">
      <w:pPr>
        <w:pStyle w:val="2"/>
        <w:ind w:left="0" w:leftChars="0" w:firstLine="0" w:firstLineChars="0"/>
        <w:rPr>
          <w:rFonts w:ascii="仿宋_GB2312" w:hAnsi="宋体" w:eastAsia="仿宋_GB2312"/>
          <w:b/>
          <w:bCs/>
          <w:color w:val="auto"/>
          <w:szCs w:val="21"/>
          <w:highlight w:val="none"/>
        </w:rPr>
      </w:pPr>
      <w:r>
        <w:rPr>
          <w:rFonts w:hint="eastAsia" w:ascii="仿宋_GB2312" w:hAnsi="宋体" w:eastAsia="仿宋_GB2312"/>
          <w:b/>
          <w:bCs/>
          <w:color w:val="auto"/>
          <w:szCs w:val="21"/>
          <w:highlight w:val="none"/>
        </w:rPr>
        <w:br w:type="page"/>
      </w:r>
    </w:p>
    <w:p w14:paraId="4D335FF6">
      <w:pPr>
        <w:adjustRightInd w:val="0"/>
        <w:snapToGrid w:val="0"/>
        <w:spacing w:beforeLines="50" w:line="360" w:lineRule="auto"/>
        <w:ind w:right="420"/>
        <w:rPr>
          <w:rFonts w:ascii="黑体" w:hAnsi="华文中宋" w:eastAsia="黑体"/>
          <w:color w:val="auto"/>
          <w:sz w:val="28"/>
          <w:szCs w:val="28"/>
          <w:highlight w:val="none"/>
        </w:rPr>
      </w:pPr>
      <w:r>
        <w:rPr>
          <w:rFonts w:hint="eastAsia" w:ascii="黑体" w:hAnsi="华文中宋" w:eastAsia="黑体"/>
          <w:color w:val="auto"/>
          <w:sz w:val="28"/>
          <w:szCs w:val="28"/>
          <w:highlight w:val="none"/>
        </w:rPr>
        <w:t>附件2</w:t>
      </w:r>
    </w:p>
    <w:p w14:paraId="15392B2F">
      <w:pPr>
        <w:adjustRightInd w:val="0"/>
        <w:snapToGrid w:val="0"/>
        <w:spacing w:beforeLines="50" w:line="360" w:lineRule="auto"/>
        <w:ind w:right="42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t>营业执照复印件</w:t>
      </w:r>
    </w:p>
    <w:p w14:paraId="15BF18BB">
      <w:pPr>
        <w:adjustRightInd w:val="0"/>
        <w:snapToGrid w:val="0"/>
        <w:spacing w:beforeLines="50" w:line="360" w:lineRule="auto"/>
        <w:ind w:right="420"/>
        <w:jc w:val="center"/>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开户许可证（基本户信息表）</w:t>
      </w:r>
    </w:p>
    <w:p w14:paraId="4D51A94F">
      <w:pPr>
        <w:adjustRightInd w:val="0"/>
        <w:snapToGrid w:val="0"/>
        <w:spacing w:beforeLines="50" w:line="360" w:lineRule="auto"/>
        <w:rPr>
          <w:rFonts w:ascii="宋体" w:hAnsi="宋体"/>
          <w:color w:val="auto"/>
          <w:szCs w:val="21"/>
          <w:highlight w:val="none"/>
        </w:rPr>
      </w:pPr>
      <w:r>
        <w:rPr>
          <w:rFonts w:hint="eastAsia" w:ascii="宋体" w:hAnsi="宋体"/>
          <w:color w:val="auto"/>
          <w:szCs w:val="21"/>
          <w:highlight w:val="none"/>
        </w:rPr>
        <w:br w:type="page"/>
      </w:r>
    </w:p>
    <w:p w14:paraId="22012254">
      <w:pPr>
        <w:numPr>
          <w:ilvl w:val="0"/>
          <w:numId w:val="6"/>
        </w:num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报价一览表及报价文件</w:t>
      </w:r>
    </w:p>
    <w:tbl>
      <w:tblPr>
        <w:tblStyle w:val="19"/>
        <w:tblW w:w="46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
        <w:gridCol w:w="1693"/>
        <w:gridCol w:w="2408"/>
        <w:gridCol w:w="708"/>
        <w:gridCol w:w="1016"/>
        <w:gridCol w:w="708"/>
        <w:gridCol w:w="1124"/>
      </w:tblGrid>
      <w:tr w14:paraId="3F8A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8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A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B2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E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报价单价</w:t>
            </w:r>
          </w:p>
        </w:tc>
        <w:tc>
          <w:tcPr>
            <w:tcW w:w="651" w:type="pct"/>
            <w:tcBorders>
              <w:top w:val="single" w:color="000000" w:sz="4" w:space="0"/>
              <w:left w:val="nil"/>
              <w:bottom w:val="single" w:color="000000" w:sz="4" w:space="0"/>
              <w:right w:val="single" w:color="000000" w:sz="4" w:space="0"/>
            </w:tcBorders>
            <w:shd w:val="clear" w:color="auto" w:fill="auto"/>
            <w:vAlign w:val="center"/>
          </w:tcPr>
          <w:p w14:paraId="08C5A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r>
              <w:rPr>
                <w:rFonts w:hint="eastAsia" w:ascii="宋体" w:hAnsi="宋体" w:cs="宋体"/>
                <w:i w:val="0"/>
                <w:iCs w:val="0"/>
                <w:color w:val="000000"/>
                <w:kern w:val="0"/>
                <w:sz w:val="20"/>
                <w:szCs w:val="20"/>
                <w:u w:val="none"/>
                <w:lang w:val="en-US" w:eastAsia="zh-CN" w:bidi="ar"/>
              </w:rPr>
              <w:t>总价</w:t>
            </w:r>
          </w:p>
        </w:tc>
      </w:tr>
      <w:tr w14:paraId="5099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6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5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钢柱</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9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3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5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267.7</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F4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7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DC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3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C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6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37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CF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9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5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行车梁</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4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A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F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26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2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风机支架</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2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9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5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6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58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系杆</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6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B8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C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41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7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6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水平支撑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0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∅180X6.0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5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1D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0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92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A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水平支撑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6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8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5E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7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30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F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0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C22a槽钢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5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5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F7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4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F0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L100x6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8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0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2B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6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B4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6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B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B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9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49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3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42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E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F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隅撑</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L50x4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2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81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6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4A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4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套杆</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∅32x2.5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9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E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B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7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0E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1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D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2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C28a槽钢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D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A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E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F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BA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E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7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7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L110X10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D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40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74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5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连接板</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1.钢材品种、规格:详见图纸</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3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7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D4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EE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4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屋面檩条</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0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Z300X80X20X3.0（2.5）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9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E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B8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A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5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屋面檩条</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2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C300X80X20X3.0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9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2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DE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9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3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拉条</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5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7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4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5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2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95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8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5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屋面上板</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1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0.8mm820型彩钢板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9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C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5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7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48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4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屋面下板</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D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0.6mm820型彩钢板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D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C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58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0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屋面压力板</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6mm纤维水泥压力板</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C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9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B8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21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8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屋面保温层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4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80mm厚岩棉板保温层</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4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9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2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2C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屋面隔汽层</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0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0.49厚聚乙烯膜隔汽层</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6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AE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58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A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采光天窗</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D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6+12A+6+1.14PVB+6mm中透光双银Low-e</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2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D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F5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2E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4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屋顶自然通风器</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5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QM-1000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B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7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E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E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5C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1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6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墙面板</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D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1.复合保温一体化墙板(0.8mm铝镁锰板（外侧）+100mm厚防火岩棉+0.6mm钢板（内侧）)；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2.龙骨：60*80*4mm钢龙骨,横向竖向间距：500mm，含门窗洞口加强；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3.内侧封一层水泥纤维饰面板8mm厚；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4.综合考虑铝镁锰板颜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色及表面样式。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0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A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AA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天沟</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D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1.钢材品种：304不锈钢钢板3mm厚，规格：高600*宽500mm，形状详见设计图参17ZJ925-1 2-69;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2.构件类型：须中标人根据现场情况深化设计（费用含在报价中,不另计），经发包人确认后实施;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3.工程量按延长米计算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B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C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E1A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C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落水管</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E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∅150PVC</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A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3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4CF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6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6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3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E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C2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0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F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8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4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F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9A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1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4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0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CD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F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F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6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5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7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AE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0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3B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B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E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F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C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C6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A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69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3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C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4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8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4B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CA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1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0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2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E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3E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5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3A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C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B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8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A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BA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7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预埋螺栓</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9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4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F1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6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23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F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防火涂料面层（耐火极限≥2.5小时）</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防火涂料(非膨胀型)</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3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E44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7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防火涂料面层（耐火极限≥1小时）</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防火涂料(膨胀型)</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4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15798.98</w:t>
            </w: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10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3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7A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3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BB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C47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C422">
            <w:pPr>
              <w:jc w:val="center"/>
              <w:rPr>
                <w:rFonts w:hint="eastAsia" w:ascii="宋体" w:hAnsi="宋体" w:eastAsia="宋体" w:cs="宋体"/>
                <w:b/>
                <w:bCs/>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800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7FE13">
            <w:pPr>
              <w:jc w:val="center"/>
              <w:rPr>
                <w:rFonts w:hint="eastAsia" w:ascii="宋体" w:hAnsi="宋体" w:eastAsia="宋体" w:cs="宋体"/>
                <w:b/>
                <w:bCs/>
                <w:i w:val="0"/>
                <w:iCs w:val="0"/>
                <w:color w:val="000000"/>
                <w:sz w:val="24"/>
                <w:szCs w:val="24"/>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3A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bl>
    <w:p w14:paraId="6EF09043">
      <w:pPr>
        <w:pStyle w:val="2"/>
        <w:numPr>
          <w:ilvl w:val="0"/>
          <w:numId w:val="0"/>
        </w:numPr>
        <w:ind w:leftChars="400"/>
      </w:pPr>
    </w:p>
    <w:p w14:paraId="46F20369">
      <w:pPr>
        <w:adjustRightInd w:val="0"/>
        <w:snapToGrid w:val="0"/>
        <w:rPr>
          <w:rFonts w:ascii="宋体" w:hAnsi="宋体"/>
          <w:color w:val="auto"/>
          <w:szCs w:val="21"/>
          <w:highlight w:val="none"/>
        </w:rPr>
      </w:pPr>
    </w:p>
    <w:p w14:paraId="2B8A1DC7">
      <w:pPr>
        <w:adjustRightInd w:val="0"/>
        <w:snapToGrid w:val="0"/>
        <w:spacing w:beforeLines="50" w:line="360" w:lineRule="auto"/>
        <w:jc w:val="both"/>
        <w:rPr>
          <w:rFonts w:hint="default" w:ascii="宋体" w:hAnsi="宋体"/>
          <w:color w:val="auto"/>
          <w:szCs w:val="21"/>
          <w:highlight w:val="none"/>
          <w:lang w:val="en-US"/>
        </w:rPr>
      </w:pPr>
      <w:r>
        <w:rPr>
          <w:rFonts w:hint="eastAsia" w:ascii="宋体" w:hAnsi="宋体"/>
          <w:color w:val="auto"/>
          <w:szCs w:val="21"/>
          <w:highlight w:val="none"/>
        </w:rPr>
        <w:t>备注：以上报价为到货价，包括运输、装卸费、检测费、税金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w:t>
      </w:r>
      <w:r>
        <w:rPr>
          <w:rFonts w:hint="eastAsia" w:ascii="宋体" w:hAnsi="宋体"/>
          <w:color w:val="auto"/>
          <w:szCs w:val="21"/>
          <w:highlight w:val="none"/>
        </w:rPr>
        <w:t>等投标其他费用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报价保留小数点后两位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供应商应熟悉本项目设计文件。</w:t>
      </w:r>
    </w:p>
    <w:p w14:paraId="35067FCB">
      <w:pPr>
        <w:pStyle w:val="2"/>
        <w:ind w:left="0" w:leftChars="0" w:firstLine="0" w:firstLineChars="0"/>
        <w:rPr>
          <w:rFonts w:ascii="宋体" w:hAnsi="宋体"/>
          <w:color w:val="auto"/>
          <w:szCs w:val="21"/>
          <w:highlight w:val="none"/>
        </w:rPr>
      </w:pPr>
    </w:p>
    <w:p w14:paraId="514FB432">
      <w:pPr>
        <w:rPr>
          <w:color w:val="auto"/>
          <w:highlight w:val="none"/>
        </w:rPr>
      </w:pPr>
    </w:p>
    <w:p w14:paraId="099E39D2">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供应商名称（单位章）：</w:t>
      </w:r>
      <w:r>
        <w:rPr>
          <w:rFonts w:hint="eastAsia" w:ascii="宋体" w:hAnsi="宋体"/>
          <w:color w:val="auto"/>
          <w:sz w:val="28"/>
          <w:szCs w:val="28"/>
          <w:highlight w:val="none"/>
          <w:u w:val="single"/>
        </w:rPr>
        <w:t xml:space="preserve">                   </w:t>
      </w:r>
    </w:p>
    <w:p w14:paraId="023B3918">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法定代表人或其委托代理人(签字)：</w:t>
      </w:r>
      <w:r>
        <w:rPr>
          <w:rFonts w:hint="eastAsia" w:ascii="宋体" w:hAnsi="宋体"/>
          <w:color w:val="auto"/>
          <w:sz w:val="28"/>
          <w:szCs w:val="28"/>
          <w:highlight w:val="none"/>
          <w:u w:val="single"/>
        </w:rPr>
        <w:t xml:space="preserve">                </w:t>
      </w:r>
    </w:p>
    <w:p w14:paraId="4A384135">
      <w:pPr>
        <w:adjustRightInd w:val="0"/>
        <w:snapToGrid w:val="0"/>
        <w:spacing w:beforeLines="50" w:line="360" w:lineRule="auto"/>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643D1898">
      <w:pPr>
        <w:rPr>
          <w:rFonts w:ascii="宋体" w:hAnsi="宋体"/>
          <w:color w:val="auto"/>
          <w:szCs w:val="21"/>
          <w:highlight w:val="none"/>
        </w:rPr>
      </w:pPr>
      <w:r>
        <w:rPr>
          <w:rFonts w:hint="eastAsia" w:ascii="宋体" w:hAnsi="宋体"/>
          <w:color w:val="auto"/>
          <w:szCs w:val="21"/>
          <w:highlight w:val="none"/>
        </w:rPr>
        <w:br w:type="page"/>
      </w:r>
    </w:p>
    <w:p w14:paraId="3EE1F8B5">
      <w:pPr>
        <w:adjustRightInd w:val="0"/>
        <w:snapToGrid w:val="0"/>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、供应商认为需要提供的其它资料</w:t>
      </w:r>
    </w:p>
    <w:p w14:paraId="3D1C89E3">
      <w:pPr>
        <w:adjustRightInd w:val="0"/>
        <w:snapToGrid w:val="0"/>
        <w:spacing w:beforeLines="50" w:line="360" w:lineRule="auto"/>
        <w:ind w:firstLine="420" w:firstLineChars="200"/>
        <w:outlineLvl w:val="0"/>
        <w:rPr>
          <w:rFonts w:ascii="宋体" w:hAnsi="宋体" w:cs="宋体"/>
          <w:color w:val="auto"/>
          <w:sz w:val="28"/>
          <w:szCs w:val="28"/>
          <w:highlight w:val="none"/>
        </w:rPr>
      </w:pPr>
      <w:r>
        <w:rPr>
          <w:rFonts w:hint="eastAsia" w:ascii="宋体" w:hAnsi="宋体" w:cs="宋体"/>
          <w:color w:val="auto"/>
          <w:szCs w:val="21"/>
          <w:highlight w:val="none"/>
        </w:rPr>
        <w:t>提供采购文件或评分标准需要提供的相关证明文件复印件，或供应商认为需要提供的其他材料。</w:t>
      </w:r>
    </w:p>
    <w:p w14:paraId="1C4263A7">
      <w:pPr>
        <w:pStyle w:val="35"/>
        <w:rPr>
          <w:color w:val="auto"/>
          <w:highlight w:val="none"/>
        </w:rPr>
      </w:pPr>
    </w:p>
    <w:p w14:paraId="7AE1D0FB">
      <w:pPr>
        <w:pStyle w:val="2"/>
        <w:spacing w:beforeLines="50" w:after="0" w:line="360" w:lineRule="auto"/>
        <w:ind w:left="0" w:leftChars="0" w:firstLine="0" w:firstLineChars="0"/>
        <w:rPr>
          <w:rFonts w:ascii="宋体" w:hAnsi="宋体"/>
          <w:color w:val="auto"/>
          <w:szCs w:val="21"/>
          <w:highlight w:val="none"/>
        </w:rPr>
      </w:pPr>
    </w:p>
    <w:p w14:paraId="462778A1">
      <w:pPr>
        <w:rPr>
          <w:rFonts w:ascii="宋体" w:hAnsi="宋体"/>
          <w:color w:val="auto"/>
          <w:szCs w:val="21"/>
          <w:highlight w:val="none"/>
        </w:rPr>
      </w:pPr>
    </w:p>
    <w:p w14:paraId="28D3ECF8">
      <w:pPr>
        <w:pStyle w:val="2"/>
        <w:rPr>
          <w:rFonts w:ascii="宋体" w:hAnsi="宋体"/>
          <w:color w:val="auto"/>
          <w:szCs w:val="21"/>
          <w:highlight w:val="none"/>
        </w:rPr>
      </w:pPr>
    </w:p>
    <w:p w14:paraId="72133852">
      <w:pPr>
        <w:rPr>
          <w:rFonts w:ascii="宋体" w:hAnsi="宋体"/>
          <w:color w:val="auto"/>
          <w:szCs w:val="21"/>
          <w:highlight w:val="none"/>
        </w:rPr>
      </w:pPr>
    </w:p>
    <w:p w14:paraId="2E5431FE">
      <w:pPr>
        <w:pStyle w:val="2"/>
        <w:rPr>
          <w:rFonts w:ascii="宋体" w:hAnsi="宋体"/>
          <w:color w:val="auto"/>
          <w:szCs w:val="21"/>
          <w:highlight w:val="none"/>
        </w:rPr>
      </w:pPr>
    </w:p>
    <w:p w14:paraId="20D94BF3">
      <w:pPr>
        <w:rPr>
          <w:rFonts w:ascii="宋体" w:hAnsi="宋体"/>
          <w:color w:val="auto"/>
          <w:szCs w:val="21"/>
          <w:highlight w:val="none"/>
        </w:rPr>
      </w:pPr>
    </w:p>
    <w:p w14:paraId="740D7133">
      <w:pPr>
        <w:pStyle w:val="2"/>
        <w:rPr>
          <w:rFonts w:ascii="宋体" w:hAnsi="宋体"/>
          <w:color w:val="auto"/>
          <w:szCs w:val="21"/>
          <w:highlight w:val="none"/>
        </w:rPr>
      </w:pPr>
    </w:p>
    <w:p w14:paraId="7AEDE05B">
      <w:pPr>
        <w:rPr>
          <w:rFonts w:ascii="宋体" w:hAnsi="宋体"/>
          <w:color w:val="auto"/>
          <w:szCs w:val="21"/>
          <w:highlight w:val="none"/>
        </w:rPr>
      </w:pPr>
    </w:p>
    <w:p w14:paraId="7114EA5F">
      <w:pPr>
        <w:pStyle w:val="2"/>
        <w:rPr>
          <w:rFonts w:ascii="宋体" w:hAnsi="宋体"/>
          <w:color w:val="auto"/>
          <w:szCs w:val="21"/>
          <w:highlight w:val="none"/>
        </w:rPr>
      </w:pPr>
    </w:p>
    <w:p w14:paraId="1CD6032A">
      <w:pPr>
        <w:rPr>
          <w:rFonts w:ascii="宋体" w:hAnsi="宋体"/>
          <w:color w:val="auto"/>
          <w:szCs w:val="21"/>
          <w:highlight w:val="none"/>
        </w:rPr>
      </w:pPr>
    </w:p>
    <w:p w14:paraId="7B41131C">
      <w:pPr>
        <w:pStyle w:val="2"/>
        <w:rPr>
          <w:rFonts w:ascii="宋体" w:hAnsi="宋体"/>
          <w:color w:val="auto"/>
          <w:szCs w:val="21"/>
          <w:highlight w:val="none"/>
        </w:rPr>
      </w:pPr>
    </w:p>
    <w:p w14:paraId="214F23EB">
      <w:pPr>
        <w:rPr>
          <w:rFonts w:ascii="宋体" w:hAnsi="宋体"/>
          <w:color w:val="auto"/>
          <w:szCs w:val="21"/>
          <w:highlight w:val="none"/>
        </w:rPr>
      </w:pPr>
    </w:p>
    <w:p w14:paraId="5CF4783C">
      <w:pPr>
        <w:pStyle w:val="2"/>
        <w:rPr>
          <w:rFonts w:ascii="宋体" w:hAnsi="宋体"/>
          <w:color w:val="auto"/>
          <w:szCs w:val="21"/>
          <w:highlight w:val="none"/>
        </w:rPr>
      </w:pPr>
    </w:p>
    <w:p w14:paraId="35B8467C">
      <w:pPr>
        <w:rPr>
          <w:rFonts w:ascii="宋体" w:hAnsi="宋体"/>
          <w:color w:val="auto"/>
          <w:szCs w:val="21"/>
          <w:highlight w:val="none"/>
        </w:rPr>
      </w:pPr>
    </w:p>
    <w:p w14:paraId="1B5C6B44">
      <w:pPr>
        <w:pStyle w:val="2"/>
        <w:rPr>
          <w:rFonts w:ascii="宋体" w:hAnsi="宋体"/>
          <w:color w:val="auto"/>
          <w:szCs w:val="21"/>
          <w:highlight w:val="none"/>
        </w:rPr>
      </w:pPr>
    </w:p>
    <w:p w14:paraId="1ED5B16D">
      <w:pPr>
        <w:rPr>
          <w:rFonts w:ascii="宋体" w:hAnsi="宋体"/>
          <w:color w:val="auto"/>
          <w:szCs w:val="21"/>
          <w:highlight w:val="none"/>
        </w:rPr>
      </w:pPr>
    </w:p>
    <w:p w14:paraId="1EB63634">
      <w:pPr>
        <w:pStyle w:val="2"/>
        <w:rPr>
          <w:rFonts w:ascii="宋体" w:hAnsi="宋体"/>
          <w:color w:val="auto"/>
          <w:szCs w:val="21"/>
          <w:highlight w:val="none"/>
        </w:rPr>
      </w:pPr>
    </w:p>
    <w:p w14:paraId="4864E1A5">
      <w:pPr>
        <w:rPr>
          <w:rFonts w:ascii="宋体" w:hAnsi="宋体"/>
          <w:color w:val="auto"/>
          <w:szCs w:val="21"/>
          <w:highlight w:val="none"/>
        </w:rPr>
      </w:pPr>
    </w:p>
    <w:p w14:paraId="0C019AE0">
      <w:pPr>
        <w:pStyle w:val="2"/>
        <w:rPr>
          <w:rFonts w:ascii="宋体" w:hAnsi="宋体"/>
          <w:color w:val="auto"/>
          <w:szCs w:val="21"/>
          <w:highlight w:val="none"/>
        </w:rPr>
      </w:pPr>
    </w:p>
    <w:p w14:paraId="781A5388">
      <w:pPr>
        <w:rPr>
          <w:rFonts w:ascii="宋体" w:hAnsi="宋体"/>
          <w:color w:val="auto"/>
          <w:szCs w:val="21"/>
          <w:highlight w:val="none"/>
        </w:rPr>
      </w:pPr>
    </w:p>
    <w:p w14:paraId="380CBC8E">
      <w:pPr>
        <w:pStyle w:val="2"/>
        <w:rPr>
          <w:rFonts w:ascii="宋体" w:hAnsi="宋体"/>
          <w:color w:val="auto"/>
          <w:szCs w:val="21"/>
          <w:highlight w:val="none"/>
        </w:rPr>
      </w:pPr>
    </w:p>
    <w:p w14:paraId="0E3DA7E7">
      <w:pPr>
        <w:rPr>
          <w:rFonts w:ascii="宋体" w:hAnsi="宋体"/>
          <w:color w:val="auto"/>
          <w:szCs w:val="21"/>
          <w:highlight w:val="none"/>
        </w:rPr>
      </w:pPr>
    </w:p>
    <w:p w14:paraId="3310A87A">
      <w:pPr>
        <w:pStyle w:val="2"/>
        <w:rPr>
          <w:rFonts w:ascii="宋体" w:hAnsi="宋体"/>
          <w:color w:val="auto"/>
          <w:szCs w:val="21"/>
          <w:highlight w:val="none"/>
        </w:rPr>
      </w:pPr>
    </w:p>
    <w:p w14:paraId="04E7C6D5">
      <w:pPr>
        <w:rPr>
          <w:rFonts w:ascii="宋体" w:hAnsi="宋体"/>
          <w:color w:val="auto"/>
          <w:szCs w:val="21"/>
          <w:highlight w:val="none"/>
        </w:rPr>
      </w:pPr>
    </w:p>
    <w:p w14:paraId="1682AEFA">
      <w:pPr>
        <w:pStyle w:val="2"/>
        <w:rPr>
          <w:rFonts w:ascii="宋体" w:hAnsi="宋体"/>
          <w:color w:val="auto"/>
          <w:szCs w:val="21"/>
          <w:highlight w:val="none"/>
        </w:rPr>
      </w:pPr>
    </w:p>
    <w:p w14:paraId="080EF622">
      <w:pPr>
        <w:rPr>
          <w:rFonts w:ascii="宋体" w:hAnsi="宋体"/>
          <w:color w:val="auto"/>
          <w:szCs w:val="21"/>
          <w:highlight w:val="none"/>
        </w:rPr>
      </w:pPr>
    </w:p>
    <w:p w14:paraId="3E48DA1E">
      <w:pPr>
        <w:pStyle w:val="2"/>
        <w:rPr>
          <w:rFonts w:ascii="宋体" w:hAnsi="宋体"/>
          <w:color w:val="auto"/>
          <w:szCs w:val="21"/>
          <w:highlight w:val="none"/>
        </w:rPr>
      </w:pPr>
    </w:p>
    <w:p w14:paraId="43B04305">
      <w:pPr>
        <w:rPr>
          <w:rFonts w:ascii="宋体" w:hAnsi="宋体"/>
          <w:color w:val="auto"/>
          <w:szCs w:val="21"/>
          <w:highlight w:val="none"/>
        </w:rPr>
      </w:pPr>
    </w:p>
    <w:p w14:paraId="1C00F7AE">
      <w:pPr>
        <w:pStyle w:val="2"/>
        <w:rPr>
          <w:rFonts w:ascii="宋体" w:hAnsi="宋体"/>
          <w:color w:val="auto"/>
          <w:szCs w:val="21"/>
          <w:highlight w:val="none"/>
        </w:rPr>
      </w:pPr>
    </w:p>
    <w:p w14:paraId="156DEC05">
      <w:pPr>
        <w:rPr>
          <w:rFonts w:ascii="宋体" w:hAnsi="宋体"/>
          <w:color w:val="auto"/>
          <w:szCs w:val="21"/>
          <w:highlight w:val="none"/>
        </w:rPr>
      </w:pPr>
    </w:p>
    <w:p w14:paraId="71DE6D94">
      <w:pPr>
        <w:pStyle w:val="2"/>
        <w:rPr>
          <w:rFonts w:ascii="宋体" w:hAnsi="宋体"/>
          <w:color w:val="auto"/>
          <w:szCs w:val="21"/>
          <w:highlight w:val="none"/>
        </w:rPr>
      </w:pPr>
    </w:p>
    <w:p w14:paraId="413E0638">
      <w:pPr>
        <w:rPr>
          <w:rFonts w:ascii="宋体" w:hAnsi="宋体"/>
          <w:color w:val="auto"/>
          <w:szCs w:val="21"/>
          <w:highlight w:val="none"/>
        </w:rPr>
      </w:pPr>
    </w:p>
    <w:p w14:paraId="0FA27D1E">
      <w:pPr>
        <w:rPr>
          <w:color w:val="auto"/>
          <w:highlight w:val="none"/>
        </w:rPr>
      </w:pPr>
    </w:p>
    <w:sectPr>
      <w:headerReference r:id="rId4" w:type="default"/>
      <w:footerReference r:id="rId5" w:type="default"/>
      <w:pgSz w:w="11906" w:h="16838"/>
      <w:pgMar w:top="1417" w:right="1417" w:bottom="1417" w:left="1417" w:header="851" w:footer="56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9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D9655B">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0D9655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83EA">
    <w:pPr>
      <w:pStyle w:val="16"/>
      <w:ind w:right="360"/>
      <w:rPr>
        <w:u w:val="single"/>
      </w:rPr>
    </w:pP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0" cy="147955"/>
              <wp:effectExtent l="0" t="0" r="0" b="0"/>
              <wp:wrapNone/>
              <wp:docPr id="1" name="4097"/>
              <wp:cNvGraphicFramePr/>
              <a:graphic xmlns:a="http://schemas.openxmlformats.org/drawingml/2006/main">
                <a:graphicData uri="http://schemas.microsoft.com/office/word/2010/wordprocessingShape">
                  <wps:wsp>
                    <wps:cNvSpPr txBox="1"/>
                    <wps:spPr>
                      <a:xfrm>
                        <a:off x="0" y="0"/>
                        <a:ext cx="5721350" cy="147955"/>
                      </a:xfrm>
                      <a:prstGeom prst="rect">
                        <a:avLst/>
                      </a:prstGeom>
                      <a:noFill/>
                      <a:ln>
                        <a:noFill/>
                      </a:ln>
                    </wps:spPr>
                    <wps:txbx>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wps:txbx>
                    <wps:bodyPr vert="horz" lIns="0" tIns="0" rIns="0" bIns="0" anchor="t" anchorCtr="0" upright="1">
                      <a:spAutoFit/>
                    </wps:bodyPr>
                  </wps:wsp>
                </a:graphicData>
              </a:graphic>
            </wp:anchor>
          </w:drawing>
        </mc:Choice>
        <mc:Fallback>
          <w:pict>
            <v:shape id="4097" o:spid="_x0000_s1026" o:spt="202" type="#_x0000_t202" style="position:absolute;left:0pt;margin-top:0pt;height:11.65pt;width:450.5pt;mso-position-horizontal:center;mso-position-horizontal-relative:margin;z-index:251659264;mso-width-relative:page;mso-height-relative:page;" filled="f" stroked="f" coordsize="21600,21600" o:gfxdata="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zVFPDSAAAABAEAAA8AAAAAAAAAAQAgAAAAIgAAAGRycy9kb3ducmV2&#10;LnhtbFBLAQIUABQAAAAIAIdO4kBz7rz/yQEAAKoDAAAOAAAAAAAAAAEAIAAAACEBAABkcnMvZTJv&#10;RG9jLnhtbFBLBQYAAAAABgAGAFkBAABcBQAAAAA=&#10;">
              <v:fill on="f" focussize="0,0"/>
              <v:stroke on="f"/>
              <v:imagedata o:title=""/>
              <o:lock v:ext="edit" aspectratio="f"/>
              <v:textbox inset="0mm,0mm,0mm,0mm" style="mso-fit-shape-to-text:t;">
                <w:txbxContent>
                  <w:p w14:paraId="6E3AF8E6">
                    <w:pPr>
                      <w:pStyle w:val="16"/>
                      <w:tabs>
                        <w:tab w:val="clear" w:pos="8306"/>
                      </w:tabs>
                      <w:ind w:right="-1044"/>
                      <w:rPr>
                        <w:u w:val="single"/>
                      </w:rPr>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txbxContent>
              </v:textbox>
            </v:shape>
          </w:pict>
        </mc:Fallback>
      </mc:AlternateContent>
    </w:r>
    <w:r>
      <w:rPr>
        <w:rFonts w:hint="eastAsia"/>
        <w:u w:val="single"/>
      </w:rPr>
      <w:t xml:space="preserve">                                                                                                                                                                                                                                                </w:t>
    </w:r>
  </w:p>
  <w:p w14:paraId="7D25EDB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B016">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B9AA1"/>
    <w:multiLevelType w:val="singleLevel"/>
    <w:tmpl w:val="A5EB9AA1"/>
    <w:lvl w:ilvl="0" w:tentative="0">
      <w:start w:val="3"/>
      <w:numFmt w:val="chineseCounting"/>
      <w:suff w:val="nothing"/>
      <w:lvlText w:val="%1、"/>
      <w:lvlJc w:val="left"/>
      <w:rPr>
        <w:rFonts w:hint="eastAsia"/>
      </w:rPr>
    </w:lvl>
  </w:abstractNum>
  <w:abstractNum w:abstractNumId="1">
    <w:nsid w:val="00000000"/>
    <w:multiLevelType w:val="multilevel"/>
    <w:tmpl w:val="00000000"/>
    <w:lvl w:ilvl="0" w:tentative="0">
      <w:start w:val="1"/>
      <w:numFmt w:val="lowerLetter"/>
      <w:suff w:val="nothing"/>
      <w:lvlText w:val="%1   "/>
      <w:lvlJc w:val="left"/>
      <w:pPr>
        <w:ind w:left="391"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153" w:hanging="363"/>
      </w:pPr>
      <w:rPr>
        <w:rFonts w:hint="eastAsia"/>
      </w:rPr>
    </w:lvl>
    <w:lvl w:ilvl="2" w:tentative="0">
      <w:start w:val="1"/>
      <w:numFmt w:val="lowerRoman"/>
      <w:lvlText w:val="%3."/>
      <w:lvlJc w:val="right"/>
      <w:pPr>
        <w:tabs>
          <w:tab w:val="left" w:pos="57"/>
        </w:tabs>
        <w:ind w:left="153" w:hanging="363"/>
      </w:pPr>
      <w:rPr>
        <w:rFonts w:hint="eastAsia"/>
      </w:rPr>
    </w:lvl>
    <w:lvl w:ilvl="3" w:tentative="0">
      <w:start w:val="1"/>
      <w:numFmt w:val="decimal"/>
      <w:lvlText w:val="%4."/>
      <w:lvlJc w:val="left"/>
      <w:pPr>
        <w:tabs>
          <w:tab w:val="left" w:pos="57"/>
        </w:tabs>
        <w:ind w:left="153" w:hanging="363"/>
      </w:pPr>
      <w:rPr>
        <w:rFonts w:hint="eastAsia"/>
      </w:rPr>
    </w:lvl>
    <w:lvl w:ilvl="4" w:tentative="0">
      <w:start w:val="1"/>
      <w:numFmt w:val="lowerLetter"/>
      <w:lvlText w:val="%5)"/>
      <w:lvlJc w:val="left"/>
      <w:pPr>
        <w:tabs>
          <w:tab w:val="left" w:pos="57"/>
        </w:tabs>
        <w:ind w:left="153" w:hanging="363"/>
      </w:pPr>
      <w:rPr>
        <w:rFonts w:hint="eastAsia"/>
      </w:rPr>
    </w:lvl>
    <w:lvl w:ilvl="5" w:tentative="0">
      <w:start w:val="1"/>
      <w:numFmt w:val="lowerRoman"/>
      <w:lvlText w:val="%6."/>
      <w:lvlJc w:val="right"/>
      <w:pPr>
        <w:tabs>
          <w:tab w:val="left" w:pos="57"/>
        </w:tabs>
        <w:ind w:left="153" w:hanging="363"/>
      </w:pPr>
      <w:rPr>
        <w:rFonts w:hint="eastAsia"/>
      </w:rPr>
    </w:lvl>
    <w:lvl w:ilvl="6" w:tentative="0">
      <w:start w:val="1"/>
      <w:numFmt w:val="decimal"/>
      <w:lvlText w:val="%7."/>
      <w:lvlJc w:val="left"/>
      <w:pPr>
        <w:tabs>
          <w:tab w:val="left" w:pos="57"/>
        </w:tabs>
        <w:ind w:left="153" w:hanging="363"/>
      </w:pPr>
      <w:rPr>
        <w:rFonts w:hint="eastAsia"/>
      </w:rPr>
    </w:lvl>
    <w:lvl w:ilvl="7" w:tentative="0">
      <w:start w:val="1"/>
      <w:numFmt w:val="lowerLetter"/>
      <w:lvlText w:val="%8)"/>
      <w:lvlJc w:val="left"/>
      <w:pPr>
        <w:tabs>
          <w:tab w:val="left" w:pos="57"/>
        </w:tabs>
        <w:ind w:left="153" w:hanging="363"/>
      </w:pPr>
      <w:rPr>
        <w:rFonts w:hint="eastAsia"/>
      </w:rPr>
    </w:lvl>
    <w:lvl w:ilvl="8" w:tentative="0">
      <w:start w:val="1"/>
      <w:numFmt w:val="lowerRoman"/>
      <w:lvlText w:val="%9."/>
      <w:lvlJc w:val="right"/>
      <w:pPr>
        <w:tabs>
          <w:tab w:val="left" w:pos="57"/>
        </w:tabs>
        <w:ind w:left="153" w:hanging="363"/>
      </w:pPr>
      <w:rPr>
        <w:rFonts w:hint="eastAsia"/>
      </w:rPr>
    </w:lvl>
  </w:abstractNum>
  <w:abstractNum w:abstractNumId="2">
    <w:nsid w:val="00000001"/>
    <w:multiLevelType w:val="singleLevel"/>
    <w:tmpl w:val="00000001"/>
    <w:lvl w:ilvl="0" w:tentative="0">
      <w:start w:val="1"/>
      <w:numFmt w:val="chineseCounting"/>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1214224B"/>
    <w:multiLevelType w:val="singleLevel"/>
    <w:tmpl w:val="1214224B"/>
    <w:lvl w:ilvl="0" w:tentative="0">
      <w:start w:val="2"/>
      <w:numFmt w:val="chineseCounting"/>
      <w:suff w:val="space"/>
      <w:lvlText w:val="第%1章"/>
      <w:lvlJc w:val="left"/>
      <w:rPr>
        <w:rFonts w:hint="eastAsia"/>
      </w:rPr>
    </w:lvl>
  </w:abstractNum>
  <w:abstractNum w:abstractNumId="5">
    <w:nsid w:val="68F88E68"/>
    <w:multiLevelType w:val="singleLevel"/>
    <w:tmpl w:val="68F88E68"/>
    <w:lvl w:ilvl="0" w:tentative="0">
      <w:start w:val="6"/>
      <w:numFmt w:val="chineseCounting"/>
      <w:suff w:val="nothing"/>
      <w:lvlText w:val="%1、"/>
      <w:lvlJc w:val="left"/>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ZDhkZWExMWVjMTI4ZGNkNjYyMGVmODM0NGI1OTQifQ=="/>
  </w:docVars>
  <w:rsids>
    <w:rsidRoot w:val="00000000"/>
    <w:rsid w:val="008102F1"/>
    <w:rsid w:val="00E63079"/>
    <w:rsid w:val="02785724"/>
    <w:rsid w:val="02895B83"/>
    <w:rsid w:val="02DB65A7"/>
    <w:rsid w:val="03782EB8"/>
    <w:rsid w:val="03836A76"/>
    <w:rsid w:val="04010B7B"/>
    <w:rsid w:val="04592503"/>
    <w:rsid w:val="04AF5B15"/>
    <w:rsid w:val="05127342"/>
    <w:rsid w:val="068A12C2"/>
    <w:rsid w:val="07174E85"/>
    <w:rsid w:val="07990616"/>
    <w:rsid w:val="07CC09EB"/>
    <w:rsid w:val="083062F4"/>
    <w:rsid w:val="08F5187C"/>
    <w:rsid w:val="09C556F2"/>
    <w:rsid w:val="0AA90BA8"/>
    <w:rsid w:val="0B5331D2"/>
    <w:rsid w:val="0B621425"/>
    <w:rsid w:val="0C657421"/>
    <w:rsid w:val="0CA072C0"/>
    <w:rsid w:val="0CC4212C"/>
    <w:rsid w:val="0DCB52A1"/>
    <w:rsid w:val="0E8D1387"/>
    <w:rsid w:val="0EDD528C"/>
    <w:rsid w:val="0FA17210"/>
    <w:rsid w:val="0FD95909"/>
    <w:rsid w:val="107E311B"/>
    <w:rsid w:val="11B61DC5"/>
    <w:rsid w:val="1210282C"/>
    <w:rsid w:val="13144E5E"/>
    <w:rsid w:val="1319126E"/>
    <w:rsid w:val="13243989"/>
    <w:rsid w:val="13AB20BD"/>
    <w:rsid w:val="13D15E24"/>
    <w:rsid w:val="14060B1B"/>
    <w:rsid w:val="14496F20"/>
    <w:rsid w:val="149105ED"/>
    <w:rsid w:val="152C3ECC"/>
    <w:rsid w:val="158F3058"/>
    <w:rsid w:val="16AA7570"/>
    <w:rsid w:val="174114E0"/>
    <w:rsid w:val="190B7F51"/>
    <w:rsid w:val="19C21B23"/>
    <w:rsid w:val="1A1A3076"/>
    <w:rsid w:val="1A1B135F"/>
    <w:rsid w:val="1A325357"/>
    <w:rsid w:val="1A534654"/>
    <w:rsid w:val="1A5F2FF9"/>
    <w:rsid w:val="1A676352"/>
    <w:rsid w:val="1A74583C"/>
    <w:rsid w:val="1B765E86"/>
    <w:rsid w:val="1BBB713A"/>
    <w:rsid w:val="1CD20CA8"/>
    <w:rsid w:val="1D34198B"/>
    <w:rsid w:val="1D5A0AE6"/>
    <w:rsid w:val="1D8726CB"/>
    <w:rsid w:val="1DDB74E0"/>
    <w:rsid w:val="1E1B2A71"/>
    <w:rsid w:val="1E7528A0"/>
    <w:rsid w:val="1E9331EE"/>
    <w:rsid w:val="200018B6"/>
    <w:rsid w:val="204C363E"/>
    <w:rsid w:val="21840872"/>
    <w:rsid w:val="21B31A57"/>
    <w:rsid w:val="224170A0"/>
    <w:rsid w:val="22EC7DE8"/>
    <w:rsid w:val="23E67FF7"/>
    <w:rsid w:val="23E763F0"/>
    <w:rsid w:val="240F2ADC"/>
    <w:rsid w:val="24894659"/>
    <w:rsid w:val="249B19C2"/>
    <w:rsid w:val="24BD373E"/>
    <w:rsid w:val="24DD1B9F"/>
    <w:rsid w:val="25266409"/>
    <w:rsid w:val="25C24D84"/>
    <w:rsid w:val="26537F05"/>
    <w:rsid w:val="275F2D24"/>
    <w:rsid w:val="27EA52C8"/>
    <w:rsid w:val="2940049A"/>
    <w:rsid w:val="29A23DAA"/>
    <w:rsid w:val="2A282CB7"/>
    <w:rsid w:val="2A5764F4"/>
    <w:rsid w:val="2F9D5718"/>
    <w:rsid w:val="30095E7D"/>
    <w:rsid w:val="30985AB1"/>
    <w:rsid w:val="30CE7D0A"/>
    <w:rsid w:val="31993E7B"/>
    <w:rsid w:val="321C1B85"/>
    <w:rsid w:val="33BA709B"/>
    <w:rsid w:val="33D12D62"/>
    <w:rsid w:val="33DC34B5"/>
    <w:rsid w:val="349954B3"/>
    <w:rsid w:val="34F747DB"/>
    <w:rsid w:val="352F227E"/>
    <w:rsid w:val="35883A21"/>
    <w:rsid w:val="35F2592E"/>
    <w:rsid w:val="36721EAF"/>
    <w:rsid w:val="37290060"/>
    <w:rsid w:val="37B7226F"/>
    <w:rsid w:val="37D9257F"/>
    <w:rsid w:val="384C4D44"/>
    <w:rsid w:val="38845123"/>
    <w:rsid w:val="388E449C"/>
    <w:rsid w:val="38C878DF"/>
    <w:rsid w:val="394538AA"/>
    <w:rsid w:val="39731517"/>
    <w:rsid w:val="3A1F1505"/>
    <w:rsid w:val="3C894B6B"/>
    <w:rsid w:val="3C8A0880"/>
    <w:rsid w:val="3ECB6600"/>
    <w:rsid w:val="3EEF6A08"/>
    <w:rsid w:val="3F293F7E"/>
    <w:rsid w:val="3F424B14"/>
    <w:rsid w:val="3FF51B86"/>
    <w:rsid w:val="3FF55D27"/>
    <w:rsid w:val="40672358"/>
    <w:rsid w:val="406800A0"/>
    <w:rsid w:val="41566A79"/>
    <w:rsid w:val="42336996"/>
    <w:rsid w:val="429A4F68"/>
    <w:rsid w:val="430C481C"/>
    <w:rsid w:val="438D7722"/>
    <w:rsid w:val="441C2A3B"/>
    <w:rsid w:val="44402C0B"/>
    <w:rsid w:val="446A1DF1"/>
    <w:rsid w:val="44E83C28"/>
    <w:rsid w:val="44F17A51"/>
    <w:rsid w:val="45693181"/>
    <w:rsid w:val="45B63B66"/>
    <w:rsid w:val="465C0A4C"/>
    <w:rsid w:val="480768FB"/>
    <w:rsid w:val="4896798C"/>
    <w:rsid w:val="48D65B21"/>
    <w:rsid w:val="4B241572"/>
    <w:rsid w:val="4BEF2CA4"/>
    <w:rsid w:val="4CCA75E6"/>
    <w:rsid w:val="4E255D2C"/>
    <w:rsid w:val="4E301ED3"/>
    <w:rsid w:val="4EB64BD7"/>
    <w:rsid w:val="4EC47DD1"/>
    <w:rsid w:val="517630BB"/>
    <w:rsid w:val="51816D88"/>
    <w:rsid w:val="51DB33CC"/>
    <w:rsid w:val="51FB66C0"/>
    <w:rsid w:val="526D7CA2"/>
    <w:rsid w:val="52727066"/>
    <w:rsid w:val="52894210"/>
    <w:rsid w:val="535417EB"/>
    <w:rsid w:val="53AC4159"/>
    <w:rsid w:val="53FC7FF5"/>
    <w:rsid w:val="567C6C1A"/>
    <w:rsid w:val="580A211D"/>
    <w:rsid w:val="581934E5"/>
    <w:rsid w:val="5A1B7D10"/>
    <w:rsid w:val="5A257B45"/>
    <w:rsid w:val="5AB521E6"/>
    <w:rsid w:val="5B3837A5"/>
    <w:rsid w:val="5B751975"/>
    <w:rsid w:val="5BF159D6"/>
    <w:rsid w:val="5C54781A"/>
    <w:rsid w:val="5CE445E9"/>
    <w:rsid w:val="5D0E70DE"/>
    <w:rsid w:val="605E61C4"/>
    <w:rsid w:val="60B13450"/>
    <w:rsid w:val="622F287E"/>
    <w:rsid w:val="63CF256B"/>
    <w:rsid w:val="63D65BA2"/>
    <w:rsid w:val="644074C9"/>
    <w:rsid w:val="64AD17E2"/>
    <w:rsid w:val="64F740D7"/>
    <w:rsid w:val="654014E3"/>
    <w:rsid w:val="65721688"/>
    <w:rsid w:val="67CE0D8B"/>
    <w:rsid w:val="68C3225A"/>
    <w:rsid w:val="68E6505A"/>
    <w:rsid w:val="69AB3FE2"/>
    <w:rsid w:val="6A774588"/>
    <w:rsid w:val="6B806ECC"/>
    <w:rsid w:val="6B9977B2"/>
    <w:rsid w:val="6BC8789F"/>
    <w:rsid w:val="6D673814"/>
    <w:rsid w:val="6EB140F1"/>
    <w:rsid w:val="6EE778C4"/>
    <w:rsid w:val="6F0C7680"/>
    <w:rsid w:val="70372129"/>
    <w:rsid w:val="715A543E"/>
    <w:rsid w:val="723801E3"/>
    <w:rsid w:val="724C4D86"/>
    <w:rsid w:val="725D1257"/>
    <w:rsid w:val="74A97F3B"/>
    <w:rsid w:val="74AF2DDE"/>
    <w:rsid w:val="7521658D"/>
    <w:rsid w:val="7554009A"/>
    <w:rsid w:val="75D57F1B"/>
    <w:rsid w:val="760E4505"/>
    <w:rsid w:val="76BF6CC5"/>
    <w:rsid w:val="77015FCD"/>
    <w:rsid w:val="770C0F88"/>
    <w:rsid w:val="78A04FA1"/>
    <w:rsid w:val="78C0202A"/>
    <w:rsid w:val="78C064CE"/>
    <w:rsid w:val="79577B76"/>
    <w:rsid w:val="79660E24"/>
    <w:rsid w:val="7AD46261"/>
    <w:rsid w:val="7CFD03AB"/>
    <w:rsid w:val="7D29159B"/>
    <w:rsid w:val="7DBA4CD5"/>
    <w:rsid w:val="7DC07E42"/>
    <w:rsid w:val="7DFD2DDA"/>
    <w:rsid w:val="7E3F2705"/>
    <w:rsid w:val="7E6C03C9"/>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0"/>
    <w:pPr>
      <w:keepNext/>
      <w:jc w:val="center"/>
      <w:outlineLvl w:val="0"/>
    </w:pPr>
    <w:rPr>
      <w:b/>
      <w:bCs/>
      <w:kern w:val="0"/>
      <w:sz w:val="24"/>
      <w:szCs w:val="20"/>
    </w:rPr>
  </w:style>
  <w:style w:type="paragraph" w:styleId="6">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line="480" w:lineRule="auto"/>
      <w:ind w:left="420" w:leftChars="200"/>
    </w:pPr>
  </w:style>
  <w:style w:type="paragraph" w:styleId="9">
    <w:name w:val="Normal Indent"/>
    <w:basedOn w:val="1"/>
    <w:qFormat/>
    <w:uiPriority w:val="0"/>
    <w:pPr>
      <w:ind w:firstLine="420" w:firstLineChars="200"/>
    </w:pPr>
  </w:style>
  <w:style w:type="paragraph" w:styleId="10">
    <w:name w:val="Body Text"/>
    <w:basedOn w:val="1"/>
    <w:next w:val="11"/>
    <w:qFormat/>
    <w:uiPriority w:val="0"/>
    <w:pPr>
      <w:spacing w:after="120"/>
    </w:pPr>
    <w:rPr>
      <w:kern w:val="0"/>
      <w:sz w:val="20"/>
    </w:rPr>
  </w:style>
  <w:style w:type="paragraph" w:styleId="11">
    <w:name w:val="Body Text First Indent"/>
    <w:basedOn w:val="10"/>
    <w:next w:val="12"/>
    <w:qFormat/>
    <w:uiPriority w:val="0"/>
    <w:pPr>
      <w:ind w:firstLine="420" w:firstLineChars="100"/>
    </w:pPr>
  </w:style>
  <w:style w:type="paragraph" w:styleId="12">
    <w:name w:val="Body Text Indent 3"/>
    <w:basedOn w:val="1"/>
    <w:qFormat/>
    <w:uiPriority w:val="0"/>
    <w:pPr>
      <w:spacing w:after="120"/>
      <w:ind w:left="420" w:leftChars="200"/>
    </w:pPr>
    <w:rPr>
      <w:sz w:val="16"/>
      <w:szCs w:val="16"/>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pPr>
      <w:numPr>
        <w:ilvl w:val="0"/>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Hyperlink"/>
    <w:basedOn w:val="21"/>
    <w:qFormat/>
    <w:uiPriority w:val="0"/>
    <w:rPr>
      <w:color w:val="0000FF"/>
      <w:u w:val="none"/>
    </w:rPr>
  </w:style>
  <w:style w:type="paragraph" w:customStyle="1" w:styleId="26">
    <w:name w:val="样式2"/>
    <w:basedOn w:val="27"/>
    <w:next w:val="1"/>
    <w:qFormat/>
    <w:uiPriority w:val="0"/>
    <w:pPr>
      <w:spacing w:line="415" w:lineRule="auto"/>
    </w:pPr>
  </w:style>
  <w:style w:type="paragraph" w:customStyle="1" w:styleId="27">
    <w:name w:val="样式1"/>
    <w:basedOn w:val="1"/>
    <w:next w:val="1"/>
    <w:qFormat/>
    <w:uiPriority w:val="0"/>
    <w:pPr>
      <w:spacing w:line="360" w:lineRule="auto"/>
      <w:ind w:firstLine="420" w:firstLineChars="200"/>
    </w:pPr>
    <w:rPr>
      <w:szCs w:val="21"/>
    </w:rPr>
  </w:style>
  <w:style w:type="character" w:customStyle="1" w:styleId="28">
    <w:name w:val="标题 1 Char"/>
    <w:link w:val="5"/>
    <w:qFormat/>
    <w:uiPriority w:val="0"/>
    <w:rPr>
      <w:b/>
      <w:bCs/>
      <w:sz w:val="24"/>
      <w:szCs w:val="20"/>
    </w:rPr>
  </w:style>
  <w:style w:type="paragraph" w:customStyle="1" w:styleId="29">
    <w:name w:val="_Style 3"/>
    <w:basedOn w:val="1"/>
    <w:next w:val="1"/>
    <w:qFormat/>
    <w:uiPriority w:val="99"/>
    <w:pPr>
      <w:pBdr>
        <w:bottom w:val="single" w:color="auto" w:sz="6" w:space="1"/>
      </w:pBdr>
      <w:jc w:val="center"/>
    </w:pPr>
    <w:rPr>
      <w:rFonts w:ascii="Arial"/>
      <w:vanish/>
      <w:sz w:val="16"/>
    </w:rPr>
  </w:style>
  <w:style w:type="paragraph" w:styleId="30">
    <w:name w:val="List Paragraph"/>
    <w:basedOn w:val="1"/>
    <w:qFormat/>
    <w:uiPriority w:val="99"/>
    <w:pPr>
      <w:ind w:firstLine="420" w:firstLineChars="200"/>
    </w:pPr>
  </w:style>
  <w:style w:type="paragraph" w:customStyle="1" w:styleId="31">
    <w:name w:val="正文文字"/>
    <w:basedOn w:val="1"/>
    <w:next w:val="1"/>
    <w:qFormat/>
    <w:uiPriority w:val="99"/>
    <w:pPr>
      <w:spacing w:after="120"/>
    </w:pPr>
  </w:style>
  <w:style w:type="paragraph" w:customStyle="1" w:styleId="32">
    <w:name w:val="列出段落1"/>
    <w:basedOn w:val="1"/>
    <w:qFormat/>
    <w:uiPriority w:val="0"/>
    <w:pPr>
      <w:ind w:firstLine="420" w:firstLineChars="200"/>
    </w:pPr>
    <w:rPr>
      <w:rFonts w:ascii="Calibri" w:hAnsi="Calibri" w:cs="Calibri"/>
      <w:szCs w:val="21"/>
    </w:rPr>
  </w:style>
  <w:style w:type="character" w:customStyle="1" w:styleId="33">
    <w:name w:val="标题 1 Char1"/>
    <w:link w:val="5"/>
    <w:qFormat/>
    <w:uiPriority w:val="0"/>
    <w:rPr>
      <w:rFonts w:ascii="Times New Roman" w:hAnsi="Times New Roman" w:eastAsia="宋体" w:cs="Times New Roman"/>
      <w:b/>
      <w:bCs/>
      <w:sz w:val="24"/>
      <w:szCs w:val="20"/>
    </w:rPr>
  </w:style>
  <w:style w:type="paragraph" w:customStyle="1" w:styleId="34">
    <w:name w:val="p0"/>
    <w:basedOn w:val="1"/>
    <w:qFormat/>
    <w:uiPriority w:val="0"/>
    <w:pPr>
      <w:widowControl/>
    </w:pPr>
    <w:rPr>
      <w:kern w:val="0"/>
      <w:szCs w:val="21"/>
    </w:rPr>
  </w:style>
  <w:style w:type="paragraph" w:customStyle="1" w:styleId="35">
    <w:name w:val="段"/>
    <w:next w:val="1"/>
    <w:qFormat/>
    <w:uiPriority w:val="0"/>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customStyle="1" w:styleId="36">
    <w:name w:val="_Style 10"/>
    <w:basedOn w:val="1"/>
    <w:qFormat/>
    <w:uiPriority w:val="0"/>
    <w:pPr>
      <w:ind w:firstLine="420" w:firstLineChars="200"/>
    </w:pPr>
    <w:rPr>
      <w:rFonts w:ascii="Calibri" w:hAnsi="Calibri"/>
      <w:szCs w:val="20"/>
    </w:rPr>
  </w:style>
  <w:style w:type="character" w:customStyle="1" w:styleId="37">
    <w:name w:val="font11"/>
    <w:basedOn w:val="21"/>
    <w:qFormat/>
    <w:uiPriority w:val="0"/>
    <w:rPr>
      <w:rFonts w:hint="eastAsia" w:ascii="宋体" w:hAnsi="宋体" w:eastAsia="宋体" w:cs="宋体"/>
      <w:color w:val="000000"/>
      <w:sz w:val="16"/>
      <w:szCs w:val="16"/>
      <w:u w:val="none"/>
    </w:rPr>
  </w:style>
  <w:style w:type="character" w:customStyle="1" w:styleId="38">
    <w:name w:val="font91"/>
    <w:basedOn w:val="21"/>
    <w:qFormat/>
    <w:uiPriority w:val="0"/>
    <w:rPr>
      <w:rFonts w:hint="eastAsia" w:ascii="宋体" w:hAnsi="宋体" w:eastAsia="宋体" w:cs="宋体"/>
      <w:b/>
      <w:color w:val="000000"/>
      <w:sz w:val="16"/>
      <w:szCs w:val="16"/>
      <w:u w:val="none"/>
    </w:rPr>
  </w:style>
  <w:style w:type="character" w:customStyle="1" w:styleId="39">
    <w:name w:val="font81"/>
    <w:basedOn w:val="21"/>
    <w:qFormat/>
    <w:uiPriority w:val="0"/>
    <w:rPr>
      <w:rFonts w:hint="default" w:ascii="等线" w:hAnsi="等线" w:eastAsia="等线" w:cs="等线"/>
      <w:color w:val="000000"/>
      <w:sz w:val="18"/>
      <w:szCs w:val="18"/>
      <w:u w:val="none"/>
    </w:rPr>
  </w:style>
  <w:style w:type="character" w:customStyle="1" w:styleId="40">
    <w:name w:val="font61"/>
    <w:basedOn w:val="21"/>
    <w:qFormat/>
    <w:uiPriority w:val="0"/>
    <w:rPr>
      <w:rFonts w:hint="eastAsia" w:ascii="宋体" w:hAnsi="宋体" w:eastAsia="宋体" w:cs="宋体"/>
      <w:color w:val="000000"/>
      <w:sz w:val="18"/>
      <w:szCs w:val="18"/>
      <w:u w:val="none"/>
    </w:rPr>
  </w:style>
  <w:style w:type="character" w:customStyle="1" w:styleId="41">
    <w:name w:val="font01"/>
    <w:basedOn w:val="21"/>
    <w:qFormat/>
    <w:uiPriority w:val="0"/>
    <w:rPr>
      <w:rFonts w:ascii="Calibri" w:hAnsi="Calibri" w:cs="Calibri"/>
      <w:color w:val="000000"/>
      <w:sz w:val="16"/>
      <w:szCs w:val="16"/>
      <w:u w:val="none"/>
    </w:rPr>
  </w:style>
  <w:style w:type="character" w:customStyle="1" w:styleId="42">
    <w:name w:val="font31"/>
    <w:basedOn w:val="21"/>
    <w:qFormat/>
    <w:uiPriority w:val="0"/>
    <w:rPr>
      <w:rFonts w:hint="default" w:ascii="等线 Light" w:hAnsi="等线 Light" w:eastAsia="等线 Light" w:cs="等线 Light"/>
      <w:color w:val="000000"/>
      <w:sz w:val="18"/>
      <w:szCs w:val="18"/>
      <w:u w:val="none"/>
    </w:rPr>
  </w:style>
  <w:style w:type="character" w:customStyle="1" w:styleId="43">
    <w:name w:val="font51"/>
    <w:basedOn w:val="21"/>
    <w:qFormat/>
    <w:uiPriority w:val="0"/>
    <w:rPr>
      <w:rFonts w:ascii="华文楷体" w:hAnsi="华文楷体" w:eastAsia="华文楷体" w:cs="华文楷体"/>
      <w:color w:val="000000"/>
      <w:sz w:val="20"/>
      <w:szCs w:val="20"/>
      <w:u w:val="none"/>
    </w:rPr>
  </w:style>
  <w:style w:type="character" w:customStyle="1" w:styleId="44">
    <w:name w:val="font122"/>
    <w:basedOn w:val="21"/>
    <w:qFormat/>
    <w:uiPriority w:val="0"/>
    <w:rPr>
      <w:rFonts w:ascii="华文楷体" w:hAnsi="华文楷体" w:eastAsia="华文楷体" w:cs="华文楷体"/>
      <w:color w:val="000000"/>
      <w:sz w:val="18"/>
      <w:szCs w:val="18"/>
      <w:u w:val="none"/>
    </w:rPr>
  </w:style>
  <w:style w:type="character" w:customStyle="1" w:styleId="45">
    <w:name w:val="font161"/>
    <w:basedOn w:val="21"/>
    <w:qFormat/>
    <w:uiPriority w:val="0"/>
    <w:rPr>
      <w:rFonts w:ascii="华文楷体" w:hAnsi="华文楷体" w:eastAsia="华文楷体" w:cs="华文楷体"/>
      <w:color w:val="000000"/>
      <w:sz w:val="20"/>
      <w:szCs w:val="20"/>
      <w:u w:val="none"/>
    </w:rPr>
  </w:style>
  <w:style w:type="character" w:customStyle="1" w:styleId="46">
    <w:name w:val="font151"/>
    <w:basedOn w:val="21"/>
    <w:qFormat/>
    <w:uiPriority w:val="0"/>
    <w:rPr>
      <w:rFonts w:ascii="华文楷体" w:hAnsi="华文楷体" w:eastAsia="华文楷体" w:cs="华文楷体"/>
      <w:color w:val="000000"/>
      <w:sz w:val="20"/>
      <w:szCs w:val="20"/>
      <w:u w:val="none"/>
    </w:rPr>
  </w:style>
  <w:style w:type="character" w:customStyle="1" w:styleId="47">
    <w:name w:val="批注框文本 Char"/>
    <w:basedOn w:val="21"/>
    <w:link w:val="15"/>
    <w:qFormat/>
    <w:uiPriority w:val="0"/>
    <w:rPr>
      <w:kern w:val="2"/>
      <w:sz w:val="18"/>
      <w:szCs w:val="18"/>
    </w:rPr>
  </w:style>
  <w:style w:type="character" w:customStyle="1" w:styleId="48">
    <w:name w:val="10_5"/>
    <w:basedOn w:val="21"/>
    <w:qFormat/>
    <w:uiPriority w:val="0"/>
    <w:rPr>
      <w:rFonts w:hint="default" w:ascii="Times New Roman" w:hAnsi="Times New Roman" w:cs="Times New Roman"/>
    </w:rPr>
  </w:style>
  <w:style w:type="character" w:customStyle="1" w:styleId="49">
    <w:name w:val="dot"/>
    <w:basedOn w:val="21"/>
    <w:qFormat/>
    <w:uiPriority w:val="0"/>
  </w:style>
  <w:style w:type="character" w:customStyle="1" w:styleId="50">
    <w:name w:val="isnow"/>
    <w:basedOn w:val="21"/>
    <w:qFormat/>
    <w:uiPriority w:val="0"/>
    <w:rPr>
      <w:color w:val="FFFFFF"/>
      <w:shd w:val="clear" w:color="auto" w:fill="FF6801"/>
    </w:rPr>
  </w:style>
  <w:style w:type="paragraph" w:customStyle="1" w:styleId="5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26</Pages>
  <Words>9167</Words>
  <Characters>9978</Characters>
  <Paragraphs>911</Paragraphs>
  <TotalTime>265</TotalTime>
  <ScaleCrop>false</ScaleCrop>
  <LinksUpToDate>false</LinksUpToDate>
  <CharactersWithSpaces>10818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张少</dc:creator>
  <cp:lastModifiedBy>沛</cp:lastModifiedBy>
  <cp:lastPrinted>2026-04-08T03:07:16Z</cp:lastPrinted>
  <dcterms:modified xsi:type="dcterms:W3CDTF">2026-04-08T07:58:10Z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D95545BE1AFF4E929D7B29DAD0E54E3A_13</vt:lpwstr>
  </property>
  <property fmtid="{D5CDD505-2E9C-101B-9397-08002B2CF9AE}" pid="4" name="KSOTemplateDocerSaveRecord">
    <vt:lpwstr>eyJoZGlkIjoiNTdhZDhkZWExMWVjMTI4ZGNkNjYyMGVmODM0NGI1OTQiLCJ1c2VySWQiOiI5NTc5MzU2MTkifQ==</vt:lpwstr>
  </property>
</Properties>
</file>